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D7FAA" w14:textId="35BE7458" w:rsidR="00916640" w:rsidRPr="008D47A1" w:rsidRDefault="00865C6C" w:rsidP="00122EDC">
      <w:pPr>
        <w:tabs>
          <w:tab w:val="left" w:pos="4590"/>
        </w:tabs>
        <w:jc w:val="center"/>
        <w:rPr>
          <w:rFonts w:ascii="Times New Roman" w:hAnsi="Times New Roman" w:cs="Times New Roman"/>
          <w:b/>
          <w:bCs/>
          <w:sz w:val="32"/>
          <w:szCs w:val="32"/>
        </w:rPr>
      </w:pPr>
      <w:r>
        <w:rPr>
          <w:rFonts w:ascii="Times New Roman" w:hAnsi="Times New Roman" w:cs="Times New Roman"/>
          <w:b/>
          <w:bCs/>
          <w:sz w:val="32"/>
          <w:szCs w:val="32"/>
        </w:rPr>
        <w:t>Energy Storage Capacity Analysis</w:t>
      </w:r>
    </w:p>
    <w:p w14:paraId="6DC87540" w14:textId="3CA53D91" w:rsidR="008D47A1" w:rsidRDefault="008D47A1" w:rsidP="008D47A1">
      <w:pPr>
        <w:jc w:val="center"/>
        <w:rPr>
          <w:rFonts w:ascii="Times New Roman" w:hAnsi="Times New Roman" w:cs="Times New Roman"/>
        </w:rPr>
      </w:pPr>
      <w:r>
        <w:rPr>
          <w:rFonts w:ascii="Times New Roman" w:hAnsi="Times New Roman" w:cs="Times New Roman"/>
        </w:rPr>
        <w:t>Norbert Doerry</w:t>
      </w:r>
    </w:p>
    <w:p w14:paraId="3803BBE7" w14:textId="27EE14DC" w:rsidR="008D47A1" w:rsidRPr="008D47A1" w:rsidRDefault="00452DA3" w:rsidP="008D47A1">
      <w:pPr>
        <w:jc w:val="center"/>
        <w:rPr>
          <w:rFonts w:ascii="Times New Roman" w:hAnsi="Times New Roman" w:cs="Times New Roman"/>
        </w:rPr>
      </w:pPr>
      <w:r>
        <w:rPr>
          <w:rFonts w:ascii="Times New Roman" w:hAnsi="Times New Roman" w:cs="Times New Roman"/>
        </w:rPr>
        <w:t xml:space="preserve">June </w:t>
      </w:r>
      <w:r w:rsidR="00EF3488">
        <w:rPr>
          <w:rFonts w:ascii="Times New Roman" w:hAnsi="Times New Roman" w:cs="Times New Roman"/>
        </w:rPr>
        <w:t>1</w:t>
      </w:r>
      <w:r w:rsidR="00865C6C">
        <w:rPr>
          <w:rFonts w:ascii="Times New Roman" w:hAnsi="Times New Roman" w:cs="Times New Roman"/>
        </w:rPr>
        <w:t>5</w:t>
      </w:r>
      <w:r w:rsidR="00C93341">
        <w:rPr>
          <w:rFonts w:ascii="Times New Roman" w:hAnsi="Times New Roman" w:cs="Times New Roman"/>
        </w:rPr>
        <w:t>, 2026</w:t>
      </w:r>
    </w:p>
    <w:p w14:paraId="25E850A8" w14:textId="7D869DAB" w:rsidR="00B237B7" w:rsidRDefault="008D47A1" w:rsidP="008A1DF5">
      <w:pPr>
        <w:pStyle w:val="ListParagraph"/>
        <w:numPr>
          <w:ilvl w:val="0"/>
          <w:numId w:val="1"/>
        </w:numPr>
        <w:contextualSpacing w:val="0"/>
        <w:rPr>
          <w:rFonts w:ascii="Times New Roman" w:hAnsi="Times New Roman" w:cs="Times New Roman"/>
        </w:rPr>
      </w:pPr>
      <w:r>
        <w:rPr>
          <w:rFonts w:ascii="Times New Roman" w:hAnsi="Times New Roman" w:cs="Times New Roman"/>
        </w:rPr>
        <w:t xml:space="preserve"> Introduction</w:t>
      </w:r>
    </w:p>
    <w:p w14:paraId="0F81B506" w14:textId="12B7DCA4" w:rsidR="002A379D" w:rsidRDefault="006E24FA" w:rsidP="00280AF1">
      <w:pPr>
        <w:pStyle w:val="ListParagraph"/>
        <w:ind w:left="360"/>
        <w:contextualSpacing w:val="0"/>
        <w:jc w:val="both"/>
        <w:rPr>
          <w:rFonts w:ascii="Times New Roman" w:hAnsi="Times New Roman" w:cs="Times New Roman"/>
        </w:rPr>
      </w:pPr>
      <w:r>
        <w:rPr>
          <w:rFonts w:ascii="Times New Roman" w:hAnsi="Times New Roman" w:cs="Times New Roman"/>
        </w:rPr>
        <w:t>Energy storage within an electrical power system may be employed to fulfill a variety of functions.</w:t>
      </w:r>
      <w:r w:rsidR="002A379D">
        <w:rPr>
          <w:rFonts w:ascii="Times New Roman" w:hAnsi="Times New Roman" w:cs="Times New Roman"/>
        </w:rPr>
        <w:t xml:space="preserve">  The properties of the energy storage should reflect the</w:t>
      </w:r>
      <w:r w:rsidR="00280AF1">
        <w:rPr>
          <w:rFonts w:ascii="Times New Roman" w:hAnsi="Times New Roman" w:cs="Times New Roman"/>
        </w:rPr>
        <w:t xml:space="preserve"> capabilities of the</w:t>
      </w:r>
      <w:r w:rsidR="002A379D">
        <w:rPr>
          <w:rFonts w:ascii="Times New Roman" w:hAnsi="Times New Roman" w:cs="Times New Roman"/>
        </w:rPr>
        <w:t xml:space="preserve"> technologies used to implement the energy storage and the particular requirements of the functions the energy storage is intended to fulfill.  The three major energy storage technologies considered for shipboard power systems are batteries, flywheels, and super</w:t>
      </w:r>
      <w:r w:rsidR="00280AF1">
        <w:rPr>
          <w:rFonts w:ascii="Times New Roman" w:hAnsi="Times New Roman" w:cs="Times New Roman"/>
        </w:rPr>
        <w:t>-</w:t>
      </w:r>
      <w:r w:rsidR="002A379D">
        <w:rPr>
          <w:rFonts w:ascii="Times New Roman" w:hAnsi="Times New Roman" w:cs="Times New Roman"/>
        </w:rPr>
        <w:t xml:space="preserve">capacitors.  As depicted in </w:t>
      </w:r>
      <w:r w:rsidR="002A379D">
        <w:rPr>
          <w:rFonts w:ascii="Times New Roman" w:hAnsi="Times New Roman" w:cs="Times New Roman"/>
        </w:rPr>
        <w:fldChar w:fldCharType="begin"/>
      </w:r>
      <w:r w:rsidR="002A379D">
        <w:rPr>
          <w:rFonts w:ascii="Times New Roman" w:hAnsi="Times New Roman" w:cs="Times New Roman"/>
        </w:rPr>
        <w:instrText xml:space="preserve"> REF _Ref232069341 \h  \* MERGEFORMAT </w:instrText>
      </w:r>
      <w:r w:rsidR="002A379D">
        <w:rPr>
          <w:rFonts w:ascii="Times New Roman" w:hAnsi="Times New Roman" w:cs="Times New Roman"/>
        </w:rPr>
      </w:r>
      <w:r w:rsidR="002A379D">
        <w:rPr>
          <w:rFonts w:ascii="Times New Roman" w:hAnsi="Times New Roman" w:cs="Times New Roman"/>
        </w:rPr>
        <w:fldChar w:fldCharType="separate"/>
      </w:r>
      <w:r w:rsidR="002A379D" w:rsidRPr="002A379D">
        <w:rPr>
          <w:rFonts w:ascii="Times New Roman" w:hAnsi="Times New Roman" w:cs="Times New Roman"/>
        </w:rPr>
        <w:t>Figure 1</w:t>
      </w:r>
      <w:r w:rsidR="002A379D">
        <w:rPr>
          <w:rFonts w:ascii="Times New Roman" w:hAnsi="Times New Roman" w:cs="Times New Roman"/>
        </w:rPr>
        <w:fldChar w:fldCharType="end"/>
      </w:r>
      <w:r w:rsidR="002A379D">
        <w:rPr>
          <w:rFonts w:ascii="Times New Roman" w:hAnsi="Times New Roman" w:cs="Times New Roman"/>
        </w:rPr>
        <w:t>, the technologies offer trade-offs in optimizing mass with respect to energy and power.</w:t>
      </w:r>
      <w:r w:rsidR="00280AF1">
        <w:rPr>
          <w:rFonts w:ascii="Times New Roman" w:hAnsi="Times New Roman" w:cs="Times New Roman"/>
        </w:rPr>
        <w:t xml:space="preserve">  Additionally, each technology has associated, but different, safety considerations that should be addressed in the ship design.</w:t>
      </w:r>
    </w:p>
    <w:p w14:paraId="705D4467" w14:textId="434A2BDE" w:rsidR="006E24FA" w:rsidRDefault="002A379D" w:rsidP="002A379D">
      <w:pPr>
        <w:pStyle w:val="ListParagraph"/>
        <w:ind w:left="360"/>
        <w:contextualSpacing w:val="0"/>
        <w:jc w:val="center"/>
        <w:rPr>
          <w:rFonts w:ascii="Times New Roman" w:hAnsi="Times New Roman" w:cs="Times New Roman"/>
        </w:rPr>
      </w:pPr>
      <w:r>
        <w:rPr>
          <w:rFonts w:ascii="Times New Roman" w:hAnsi="Times New Roman" w:cs="Times New Roman"/>
          <w:noProof/>
        </w:rPr>
        <w:drawing>
          <wp:inline distT="0" distB="0" distL="0" distR="0" wp14:anchorId="635868F7" wp14:editId="4182B1E4">
            <wp:extent cx="2286000" cy="2593003"/>
            <wp:effectExtent l="0" t="0" r="0" b="0"/>
            <wp:docPr id="1531544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593003"/>
                    </a:xfrm>
                    <a:prstGeom prst="rect">
                      <a:avLst/>
                    </a:prstGeom>
                    <a:noFill/>
                    <a:ln>
                      <a:noFill/>
                    </a:ln>
                  </pic:spPr>
                </pic:pic>
              </a:graphicData>
            </a:graphic>
          </wp:inline>
        </w:drawing>
      </w:r>
    </w:p>
    <w:p w14:paraId="6F98D040" w14:textId="7672680B" w:rsidR="002A379D" w:rsidRDefault="002A379D" w:rsidP="002A379D">
      <w:pPr>
        <w:pStyle w:val="Caption"/>
        <w:rPr>
          <w:rFonts w:ascii="Times New Roman" w:hAnsi="Times New Roman" w:cs="Times New Roman"/>
        </w:rPr>
      </w:pPr>
      <w:bookmarkStart w:id="0" w:name="_Ref232069341"/>
      <w:r>
        <w:t xml:space="preserve">Figure </w:t>
      </w:r>
      <w:fldSimple w:instr=" SEQ Figure \* ARABIC ">
        <w:r w:rsidR="00F848CF">
          <w:rPr>
            <w:noProof/>
          </w:rPr>
          <w:t>1</w:t>
        </w:r>
      </w:fldSimple>
      <w:bookmarkEnd w:id="0"/>
      <w:r>
        <w:t xml:space="preserve">: </w:t>
      </w:r>
      <w:r w:rsidRPr="002A379D">
        <w:t>Ragone plot of energy storage technologies (approximate)</w:t>
      </w:r>
    </w:p>
    <w:p w14:paraId="38743FD3" w14:textId="77777777" w:rsidR="00865C6C" w:rsidRDefault="00865C6C" w:rsidP="00865C6C">
      <w:pPr>
        <w:pStyle w:val="ListParagraph"/>
        <w:numPr>
          <w:ilvl w:val="0"/>
          <w:numId w:val="1"/>
        </w:numPr>
        <w:contextualSpacing w:val="0"/>
        <w:rPr>
          <w:rFonts w:ascii="Times New Roman" w:hAnsi="Times New Roman" w:cs="Times New Roman"/>
        </w:rPr>
      </w:pPr>
      <w:r>
        <w:rPr>
          <w:rFonts w:ascii="Times New Roman" w:hAnsi="Times New Roman" w:cs="Times New Roman"/>
        </w:rPr>
        <w:t>Energy Storage Functions</w:t>
      </w:r>
    </w:p>
    <w:p w14:paraId="1604F994" w14:textId="11EC1F59" w:rsidR="00280AF1" w:rsidRDefault="00280AF1" w:rsidP="00280AF1">
      <w:pPr>
        <w:pStyle w:val="ListParagraph"/>
        <w:ind w:left="360"/>
        <w:contextualSpacing w:val="0"/>
        <w:rPr>
          <w:rFonts w:ascii="Times New Roman" w:hAnsi="Times New Roman" w:cs="Times New Roman"/>
        </w:rPr>
      </w:pPr>
      <w:r w:rsidRPr="00280AF1">
        <w:rPr>
          <w:rFonts w:ascii="Times New Roman" w:hAnsi="Times New Roman" w:cs="Times New Roman"/>
        </w:rPr>
        <w:t>The following energy storage functions are an extension of those defined by Doerry and Amy (2011).</w:t>
      </w:r>
    </w:p>
    <w:p w14:paraId="25DE8C83" w14:textId="7F75AA17" w:rsidR="00865C6C" w:rsidRDefault="00865C6C" w:rsidP="00865C6C">
      <w:pPr>
        <w:pStyle w:val="ListParagraph"/>
        <w:numPr>
          <w:ilvl w:val="1"/>
          <w:numId w:val="1"/>
        </w:numPr>
        <w:contextualSpacing w:val="0"/>
        <w:rPr>
          <w:rFonts w:ascii="Times New Roman" w:hAnsi="Times New Roman" w:cs="Times New Roman"/>
        </w:rPr>
      </w:pPr>
      <w:r>
        <w:rPr>
          <w:rFonts w:ascii="Times New Roman" w:hAnsi="Times New Roman" w:cs="Times New Roman"/>
        </w:rPr>
        <w:t>ESM-F1</w:t>
      </w:r>
    </w:p>
    <w:p w14:paraId="054B4070" w14:textId="78391FDF" w:rsidR="00865C6C" w:rsidRPr="00865C6C" w:rsidRDefault="00865C6C" w:rsidP="00AA17AF">
      <w:pPr>
        <w:ind w:left="360"/>
        <w:jc w:val="both"/>
        <w:rPr>
          <w:rFonts w:ascii="Times New Roman" w:hAnsi="Times New Roman" w:cs="Times New Roman"/>
        </w:rPr>
      </w:pPr>
      <w:r w:rsidRPr="00865C6C">
        <w:rPr>
          <w:rFonts w:ascii="Times New Roman" w:hAnsi="Times New Roman" w:cs="Times New Roman"/>
        </w:rPr>
        <w:t>Energy storage fulfilling ESM-F1 provide power of the requisite power quality to loads (uninterruptible loads primarily) during short term power disruptions of up to the reconfiguration time (t1).</w:t>
      </w:r>
      <w:r w:rsidR="00AA17AF">
        <w:rPr>
          <w:rFonts w:ascii="Times New Roman" w:hAnsi="Times New Roman" w:cs="Times New Roman"/>
        </w:rPr>
        <w:t xml:space="preserve">  ESM-F1 is typically accomplished using an uninterruptible power supply (UPS) limited to supplying power to one or a few loads.</w:t>
      </w:r>
    </w:p>
    <w:p w14:paraId="332F95E8" w14:textId="45A2B4CC" w:rsidR="00865C6C" w:rsidRDefault="00865C6C" w:rsidP="00B72E10">
      <w:pPr>
        <w:pStyle w:val="ListParagraph"/>
        <w:keepNext/>
        <w:numPr>
          <w:ilvl w:val="1"/>
          <w:numId w:val="1"/>
        </w:numPr>
        <w:contextualSpacing w:val="0"/>
        <w:rPr>
          <w:rFonts w:ascii="Times New Roman" w:hAnsi="Times New Roman" w:cs="Times New Roman"/>
        </w:rPr>
      </w:pPr>
      <w:r>
        <w:rPr>
          <w:rFonts w:ascii="Times New Roman" w:hAnsi="Times New Roman" w:cs="Times New Roman"/>
        </w:rPr>
        <w:lastRenderedPageBreak/>
        <w:t>ESM-F2</w:t>
      </w:r>
    </w:p>
    <w:p w14:paraId="49D6FEC7" w14:textId="77777777" w:rsidR="00A96C3D" w:rsidRDefault="00865C6C" w:rsidP="00B72E10">
      <w:pPr>
        <w:ind w:left="360"/>
        <w:jc w:val="both"/>
        <w:rPr>
          <w:rFonts w:ascii="Times New Roman" w:hAnsi="Times New Roman" w:cs="Times New Roman"/>
        </w:rPr>
      </w:pPr>
      <w:r w:rsidRPr="00865C6C">
        <w:rPr>
          <w:rFonts w:ascii="Times New Roman" w:hAnsi="Times New Roman" w:cs="Times New Roman"/>
        </w:rPr>
        <w:t xml:space="preserve">Energy storage fulfilling ESM-F2 provide power of the requisite power quality to loads (uninterruptible and </w:t>
      </w:r>
      <w:proofErr w:type="gramStart"/>
      <w:r w:rsidRPr="00865C6C">
        <w:rPr>
          <w:rFonts w:ascii="Times New Roman" w:hAnsi="Times New Roman" w:cs="Times New Roman"/>
        </w:rPr>
        <w:t>short term</w:t>
      </w:r>
      <w:proofErr w:type="gramEnd"/>
      <w:r w:rsidRPr="00865C6C">
        <w:rPr>
          <w:rFonts w:ascii="Times New Roman" w:hAnsi="Times New Roman" w:cs="Times New Roman"/>
        </w:rPr>
        <w:t xml:space="preserve"> interrupt loads </w:t>
      </w:r>
      <w:r w:rsidR="00B72E10">
        <w:rPr>
          <w:rFonts w:ascii="Times New Roman" w:hAnsi="Times New Roman" w:cs="Times New Roman"/>
        </w:rPr>
        <w:t>or emergency loads</w:t>
      </w:r>
      <w:r w:rsidRPr="00865C6C">
        <w:rPr>
          <w:rFonts w:ascii="Times New Roman" w:hAnsi="Times New Roman" w:cs="Times New Roman"/>
        </w:rPr>
        <w:t>) during power disruptions of up to the generator start time (t2).</w:t>
      </w:r>
      <w:r w:rsidR="00B72E10">
        <w:rPr>
          <w:rFonts w:ascii="Times New Roman" w:hAnsi="Times New Roman" w:cs="Times New Roman"/>
        </w:rPr>
        <w:t xml:space="preserve">  </w:t>
      </w:r>
    </w:p>
    <w:p w14:paraId="336DDF19" w14:textId="18C7F38C" w:rsidR="00865C6C" w:rsidRPr="00865C6C" w:rsidRDefault="00B72E10" w:rsidP="00B72E10">
      <w:pPr>
        <w:ind w:left="360"/>
        <w:jc w:val="both"/>
        <w:rPr>
          <w:rFonts w:ascii="Times New Roman" w:hAnsi="Times New Roman" w:cs="Times New Roman"/>
        </w:rPr>
      </w:pPr>
      <w:r>
        <w:rPr>
          <w:rFonts w:ascii="Times New Roman" w:hAnsi="Times New Roman" w:cs="Times New Roman"/>
        </w:rPr>
        <w:t>ESM-F2 fulfills the functions of a temporary emergency power source as defined in 46 CFR 112.01-15.  Passenger vessels traveling on the ocean, Great Lakes, or coastwise, or on an international voyage, are required to have a temporary emergency power source. ESM-F2 fulfilling the functions of a temporary emergency power system must have sufficient energy capacity to supply temporary emergency loads for at least 30 minutes.</w:t>
      </w:r>
    </w:p>
    <w:p w14:paraId="02403D2E" w14:textId="3D976A40" w:rsidR="00865C6C" w:rsidRDefault="00865C6C" w:rsidP="00865C6C">
      <w:pPr>
        <w:pStyle w:val="ListParagraph"/>
        <w:numPr>
          <w:ilvl w:val="1"/>
          <w:numId w:val="1"/>
        </w:numPr>
        <w:contextualSpacing w:val="0"/>
        <w:rPr>
          <w:rFonts w:ascii="Times New Roman" w:hAnsi="Times New Roman" w:cs="Times New Roman"/>
        </w:rPr>
      </w:pPr>
      <w:r>
        <w:rPr>
          <w:rFonts w:ascii="Times New Roman" w:hAnsi="Times New Roman" w:cs="Times New Roman"/>
        </w:rPr>
        <w:t>ESM-F3</w:t>
      </w:r>
    </w:p>
    <w:p w14:paraId="5CDA47F2" w14:textId="7C230907" w:rsidR="00865C6C" w:rsidRPr="00865C6C" w:rsidRDefault="00865C6C" w:rsidP="00865C6C">
      <w:pPr>
        <w:ind w:left="360"/>
        <w:rPr>
          <w:rFonts w:ascii="Times New Roman" w:hAnsi="Times New Roman" w:cs="Times New Roman"/>
        </w:rPr>
      </w:pPr>
      <w:r w:rsidRPr="00865C6C">
        <w:rPr>
          <w:rFonts w:ascii="Times New Roman" w:hAnsi="Times New Roman" w:cs="Times New Roman"/>
        </w:rPr>
        <w:t>Energy storage fulfilling ESM-F3 provide power for the emergency starting of generator sets.</w:t>
      </w:r>
      <w:r w:rsidR="00AA17AF">
        <w:rPr>
          <w:rFonts w:ascii="Times New Roman" w:hAnsi="Times New Roman" w:cs="Times New Roman"/>
        </w:rPr>
        <w:t xml:space="preserve">  46 CFR 112.50-1 requires sufficient capacity to provide for six consecutive starts.</w:t>
      </w:r>
    </w:p>
    <w:p w14:paraId="0249C939" w14:textId="2136DA78" w:rsidR="00865C6C" w:rsidRDefault="00865C6C" w:rsidP="00865C6C">
      <w:pPr>
        <w:pStyle w:val="ListParagraph"/>
        <w:numPr>
          <w:ilvl w:val="1"/>
          <w:numId w:val="1"/>
        </w:numPr>
        <w:contextualSpacing w:val="0"/>
        <w:rPr>
          <w:rFonts w:ascii="Times New Roman" w:hAnsi="Times New Roman" w:cs="Times New Roman"/>
        </w:rPr>
      </w:pPr>
      <w:r>
        <w:rPr>
          <w:rFonts w:ascii="Times New Roman" w:hAnsi="Times New Roman" w:cs="Times New Roman"/>
        </w:rPr>
        <w:t>ESM-F4</w:t>
      </w:r>
    </w:p>
    <w:p w14:paraId="6FF4294F" w14:textId="267D1B56" w:rsidR="00865C6C" w:rsidRPr="00865C6C" w:rsidRDefault="00865C6C" w:rsidP="00865C6C">
      <w:pPr>
        <w:ind w:left="360"/>
        <w:rPr>
          <w:rFonts w:ascii="Times New Roman" w:hAnsi="Times New Roman" w:cs="Times New Roman"/>
        </w:rPr>
      </w:pPr>
      <w:r w:rsidRPr="00865C6C">
        <w:rPr>
          <w:rFonts w:ascii="Times New Roman" w:hAnsi="Times New Roman" w:cs="Times New Roman"/>
        </w:rPr>
        <w:t>Energy storage fulfilling ESM-F4 provide load leveling for pulsed loads, generator sets with slow dynamics, and generator sets operating near their capacity.</w:t>
      </w:r>
    </w:p>
    <w:p w14:paraId="3CD619D7" w14:textId="4BB197D2" w:rsidR="00865C6C" w:rsidRDefault="00865C6C" w:rsidP="00865C6C">
      <w:pPr>
        <w:pStyle w:val="ListParagraph"/>
        <w:ind w:left="360"/>
        <w:contextualSpacing w:val="0"/>
        <w:rPr>
          <w:rFonts w:ascii="Times New Roman" w:hAnsi="Times New Roman" w:cs="Times New Roman"/>
        </w:rPr>
      </w:pPr>
      <w:r>
        <w:rPr>
          <w:rFonts w:ascii="Times New Roman" w:hAnsi="Times New Roman" w:cs="Times New Roman"/>
        </w:rPr>
        <w:t>2.5 ESM-F5</w:t>
      </w:r>
    </w:p>
    <w:p w14:paraId="4206C0F6" w14:textId="28965B03" w:rsidR="00865C6C" w:rsidRPr="00865C6C" w:rsidRDefault="00865C6C" w:rsidP="00865C6C">
      <w:pPr>
        <w:pStyle w:val="ListParagraph"/>
        <w:ind w:left="360"/>
        <w:contextualSpacing w:val="0"/>
        <w:rPr>
          <w:rFonts w:ascii="Times New Roman" w:hAnsi="Times New Roman" w:cs="Times New Roman"/>
        </w:rPr>
      </w:pPr>
      <w:r w:rsidRPr="00865C6C">
        <w:rPr>
          <w:rFonts w:ascii="Times New Roman" w:hAnsi="Times New Roman" w:cs="Times New Roman"/>
        </w:rPr>
        <w:t xml:space="preserve">Energy storage fulfilling ESM-F4 provide primary power with or without </w:t>
      </w:r>
      <w:proofErr w:type="gramStart"/>
      <w:r w:rsidRPr="00865C6C">
        <w:rPr>
          <w:rFonts w:ascii="Times New Roman" w:hAnsi="Times New Roman" w:cs="Times New Roman"/>
        </w:rPr>
        <w:t>other</w:t>
      </w:r>
      <w:proofErr w:type="gramEnd"/>
      <w:r w:rsidRPr="00865C6C">
        <w:rPr>
          <w:rFonts w:ascii="Times New Roman" w:hAnsi="Times New Roman" w:cs="Times New Roman"/>
        </w:rPr>
        <w:t xml:space="preserve"> generator sets online. Used to implement zonal or compartment system survivability. Also used when limiting airborne emissions in sensitive environments, or when limiting infrared or acoustic signatures for limited periods of time.</w:t>
      </w:r>
      <w:r w:rsidR="00F42AB6">
        <w:rPr>
          <w:rFonts w:ascii="Times New Roman" w:hAnsi="Times New Roman" w:cs="Times New Roman"/>
        </w:rPr>
        <w:t xml:space="preserve"> </w:t>
      </w:r>
    </w:p>
    <w:p w14:paraId="7299E40F" w14:textId="2C9D2BCB" w:rsidR="00865C6C" w:rsidRDefault="00865C6C" w:rsidP="0080528C">
      <w:pPr>
        <w:pStyle w:val="ListParagraph"/>
        <w:keepNext/>
        <w:numPr>
          <w:ilvl w:val="0"/>
          <w:numId w:val="1"/>
        </w:numPr>
        <w:spacing w:before="240"/>
        <w:contextualSpacing w:val="0"/>
        <w:rPr>
          <w:rFonts w:ascii="Times New Roman" w:hAnsi="Times New Roman" w:cs="Times New Roman"/>
        </w:rPr>
      </w:pPr>
      <w:r>
        <w:rPr>
          <w:rFonts w:ascii="Times New Roman" w:hAnsi="Times New Roman" w:cs="Times New Roman"/>
        </w:rPr>
        <w:t>Energy Storage Technologies</w:t>
      </w:r>
    </w:p>
    <w:p w14:paraId="5EABF366" w14:textId="27EF12C2" w:rsidR="00865C6C" w:rsidRDefault="00865C6C" w:rsidP="00865C6C">
      <w:pPr>
        <w:pStyle w:val="ListParagraph"/>
        <w:keepNext/>
        <w:numPr>
          <w:ilvl w:val="1"/>
          <w:numId w:val="1"/>
        </w:numPr>
        <w:spacing w:before="240"/>
        <w:contextualSpacing w:val="0"/>
        <w:rPr>
          <w:rFonts w:ascii="Times New Roman" w:hAnsi="Times New Roman" w:cs="Times New Roman"/>
        </w:rPr>
      </w:pPr>
      <w:r>
        <w:rPr>
          <w:rFonts w:ascii="Times New Roman" w:hAnsi="Times New Roman" w:cs="Times New Roman"/>
        </w:rPr>
        <w:t>Batteries</w:t>
      </w:r>
    </w:p>
    <w:p w14:paraId="337668F2" w14:textId="017CB3E9" w:rsidR="001265AB" w:rsidRDefault="001265AB" w:rsidP="001265AB">
      <w:pPr>
        <w:spacing w:before="240"/>
        <w:ind w:left="360"/>
        <w:jc w:val="both"/>
        <w:rPr>
          <w:rFonts w:ascii="Times New Roman" w:hAnsi="Times New Roman" w:cs="Times New Roman"/>
        </w:rPr>
      </w:pPr>
      <w:r w:rsidRPr="001265AB">
        <w:rPr>
          <w:rFonts w:ascii="Times New Roman" w:hAnsi="Times New Roman" w:cs="Times New Roman"/>
        </w:rPr>
        <w:t xml:space="preserve">Batteries are the most common technology used for energy storage onboard ship today.  Low power UPSs have historically used lead acid batteries, but lithium-based batteries are increasing being used in these applications.  Battery energy storage systems (BESS) intended for higher power and energy capacity are increasingly using lithium-based batteries.  Higher power battery systems incorporate series and parallel configurations of individual battery cells along with a battery management system to monitor and optimize the battery’s SOC and SOH while ensuring safety.  To maximize battery life, batteries typically are not fully charged or discharged, resulting in a working capacity less than the rated capacity. </w:t>
      </w:r>
      <w:r>
        <w:rPr>
          <w:rFonts w:ascii="Times New Roman" w:hAnsi="Times New Roman" w:cs="Times New Roman"/>
        </w:rPr>
        <w:t xml:space="preserve"> Generally, </w:t>
      </w:r>
      <w:proofErr w:type="gramStart"/>
      <w:r>
        <w:rPr>
          <w:rFonts w:ascii="Times New Roman" w:hAnsi="Times New Roman" w:cs="Times New Roman"/>
        </w:rPr>
        <w:t>lithium based</w:t>
      </w:r>
      <w:proofErr w:type="gramEnd"/>
      <w:r>
        <w:rPr>
          <w:rFonts w:ascii="Times New Roman" w:hAnsi="Times New Roman" w:cs="Times New Roman"/>
        </w:rPr>
        <w:t xml:space="preserve"> batteries should not be discharged below 20% state-of-charge (SOC)</w:t>
      </w:r>
      <w:r w:rsidR="00FD664B">
        <w:rPr>
          <w:rFonts w:ascii="Times New Roman" w:hAnsi="Times New Roman" w:cs="Times New Roman"/>
        </w:rPr>
        <w:t xml:space="preserve"> (minimum operating SOC)</w:t>
      </w:r>
      <w:r>
        <w:rPr>
          <w:rFonts w:ascii="Times New Roman" w:hAnsi="Times New Roman" w:cs="Times New Roman"/>
        </w:rPr>
        <w:t xml:space="preserve">.  </w:t>
      </w:r>
      <w:proofErr w:type="gramStart"/>
      <w:r w:rsidR="00D926DE">
        <w:rPr>
          <w:rFonts w:ascii="Times New Roman" w:hAnsi="Times New Roman" w:cs="Times New Roman"/>
        </w:rPr>
        <w:t>Lithium ion</w:t>
      </w:r>
      <w:proofErr w:type="gramEnd"/>
      <w:r w:rsidR="00D926DE">
        <w:rPr>
          <w:rFonts w:ascii="Times New Roman" w:hAnsi="Times New Roman" w:cs="Times New Roman"/>
        </w:rPr>
        <w:t xml:space="preserve"> batteries last longer if charging is stopped at 80% SOC</w:t>
      </w:r>
      <w:r w:rsidR="00FD664B">
        <w:rPr>
          <w:rFonts w:ascii="Times New Roman" w:hAnsi="Times New Roman" w:cs="Times New Roman"/>
        </w:rPr>
        <w:t xml:space="preserve"> (maximum operating SOC)</w:t>
      </w:r>
      <w:r w:rsidR="00D926DE">
        <w:rPr>
          <w:rFonts w:ascii="Times New Roman" w:hAnsi="Times New Roman" w:cs="Times New Roman"/>
        </w:rPr>
        <w:t xml:space="preserve">.  Lithium Iron Phosphate batteries may be charged to 100% SOC.  </w:t>
      </w:r>
      <w:r w:rsidR="00D926DE">
        <w:rPr>
          <w:rFonts w:ascii="Times New Roman" w:hAnsi="Times New Roman" w:cs="Times New Roman"/>
        </w:rPr>
        <w:lastRenderedPageBreak/>
        <w:t xml:space="preserve">Hence the useable energy capacity for </w:t>
      </w:r>
      <w:proofErr w:type="gramStart"/>
      <w:r w:rsidR="00D926DE">
        <w:rPr>
          <w:rFonts w:ascii="Times New Roman" w:hAnsi="Times New Roman" w:cs="Times New Roman"/>
        </w:rPr>
        <w:t>lithium ion</w:t>
      </w:r>
      <w:proofErr w:type="gramEnd"/>
      <w:r w:rsidR="00D926DE">
        <w:rPr>
          <w:rFonts w:ascii="Times New Roman" w:hAnsi="Times New Roman" w:cs="Times New Roman"/>
        </w:rPr>
        <w:t xml:space="preserve"> battery is 60% of its rating; and for lithium iron phosphate </w:t>
      </w:r>
      <w:r w:rsidR="00EA0194">
        <w:rPr>
          <w:rFonts w:ascii="Times New Roman" w:hAnsi="Times New Roman" w:cs="Times New Roman"/>
        </w:rPr>
        <w:t xml:space="preserve">it </w:t>
      </w:r>
      <w:r w:rsidR="00D926DE">
        <w:rPr>
          <w:rFonts w:ascii="Times New Roman" w:hAnsi="Times New Roman" w:cs="Times New Roman"/>
        </w:rPr>
        <w:t>is 80% of its rating.</w:t>
      </w:r>
    </w:p>
    <w:p w14:paraId="0ADBEA02" w14:textId="23D268E9" w:rsidR="001265AB" w:rsidRDefault="001265AB" w:rsidP="001265AB">
      <w:pPr>
        <w:spacing w:before="240"/>
        <w:ind w:left="360"/>
        <w:jc w:val="both"/>
        <w:rPr>
          <w:rFonts w:ascii="Times New Roman" w:hAnsi="Times New Roman" w:cs="Times New Roman"/>
        </w:rPr>
      </w:pPr>
      <w:r>
        <w:rPr>
          <w:rFonts w:ascii="Times New Roman" w:hAnsi="Times New Roman" w:cs="Times New Roman"/>
        </w:rPr>
        <w:t xml:space="preserve">The end of life of a battery is usually defined as when the </w:t>
      </w:r>
      <w:r w:rsidR="00136125">
        <w:rPr>
          <w:rFonts w:ascii="Times New Roman" w:hAnsi="Times New Roman" w:cs="Times New Roman"/>
        </w:rPr>
        <w:t>energy capacity</w:t>
      </w:r>
      <w:r>
        <w:rPr>
          <w:rFonts w:ascii="Times New Roman" w:hAnsi="Times New Roman" w:cs="Times New Roman"/>
        </w:rPr>
        <w:t xml:space="preserve"> has degraded to 80% of its capacity when new</w:t>
      </w:r>
      <w:r w:rsidR="00136125">
        <w:rPr>
          <w:rFonts w:ascii="Times New Roman" w:hAnsi="Times New Roman" w:cs="Times New Roman"/>
        </w:rPr>
        <w:t>; the degree of degradation that a battery has experienced is called state of health (SOH)</w:t>
      </w:r>
      <w:r>
        <w:rPr>
          <w:rFonts w:ascii="Times New Roman" w:hAnsi="Times New Roman" w:cs="Times New Roman"/>
        </w:rPr>
        <w:t>.  To ensure the battery will be able to fulfill its function until replaced, the calculated capacity should</w:t>
      </w:r>
      <w:r w:rsidR="00D926DE">
        <w:rPr>
          <w:rFonts w:ascii="Times New Roman" w:hAnsi="Times New Roman" w:cs="Times New Roman"/>
        </w:rPr>
        <w:t xml:space="preserve"> also</w:t>
      </w:r>
      <w:r>
        <w:rPr>
          <w:rFonts w:ascii="Times New Roman" w:hAnsi="Times New Roman" w:cs="Times New Roman"/>
        </w:rPr>
        <w:t xml:space="preserve"> be multiplied by 1.25</w:t>
      </w:r>
      <w:r w:rsidR="00EA0194">
        <w:rPr>
          <w:rFonts w:ascii="Times New Roman" w:hAnsi="Times New Roman" w:cs="Times New Roman"/>
        </w:rPr>
        <w:t xml:space="preserve"> </w:t>
      </w:r>
      <w:r>
        <w:rPr>
          <w:rFonts w:ascii="Times New Roman" w:hAnsi="Times New Roman" w:cs="Times New Roman"/>
        </w:rPr>
        <w:t xml:space="preserve">to account for </w:t>
      </w:r>
      <w:r w:rsidR="00136125">
        <w:rPr>
          <w:rFonts w:ascii="Times New Roman" w:hAnsi="Times New Roman" w:cs="Times New Roman"/>
        </w:rPr>
        <w:t>the SOH being 80% at end of life</w:t>
      </w:r>
      <w:r>
        <w:rPr>
          <w:rFonts w:ascii="Times New Roman" w:hAnsi="Times New Roman" w:cs="Times New Roman"/>
        </w:rPr>
        <w:t>.</w:t>
      </w:r>
    </w:p>
    <w:p w14:paraId="6702B241" w14:textId="57F8E59E" w:rsidR="00D926DE" w:rsidRDefault="00D926DE" w:rsidP="001265AB">
      <w:pPr>
        <w:spacing w:before="240"/>
        <w:ind w:left="360"/>
        <w:jc w:val="both"/>
        <w:rPr>
          <w:rFonts w:ascii="Times New Roman" w:hAnsi="Times New Roman" w:cs="Times New Roman"/>
        </w:rPr>
      </w:pPr>
      <w:r>
        <w:rPr>
          <w:rFonts w:ascii="Times New Roman" w:hAnsi="Times New Roman" w:cs="Times New Roman"/>
        </w:rPr>
        <w:t xml:space="preserve">Applying corrections for useable energy capacity and </w:t>
      </w:r>
      <w:r w:rsidR="00136125">
        <w:rPr>
          <w:rFonts w:ascii="Times New Roman" w:hAnsi="Times New Roman" w:cs="Times New Roman"/>
        </w:rPr>
        <w:t>SOH</w:t>
      </w:r>
      <w:r>
        <w:rPr>
          <w:rFonts w:ascii="Times New Roman" w:hAnsi="Times New Roman" w:cs="Times New Roman"/>
        </w:rPr>
        <w:t xml:space="preserve">, the calculated energy requirement for a </w:t>
      </w:r>
      <w:proofErr w:type="gramStart"/>
      <w:r>
        <w:rPr>
          <w:rFonts w:ascii="Times New Roman" w:hAnsi="Times New Roman" w:cs="Times New Roman"/>
        </w:rPr>
        <w:t>lithium ion</w:t>
      </w:r>
      <w:proofErr w:type="gramEnd"/>
      <w:r>
        <w:rPr>
          <w:rFonts w:ascii="Times New Roman" w:hAnsi="Times New Roman" w:cs="Times New Roman"/>
        </w:rPr>
        <w:t xml:space="preserve"> battery should be multiplied by 2.1 to obtain the required battery energy requirement.  Similarly, the calculated</w:t>
      </w:r>
      <w:r w:rsidR="000E1594">
        <w:rPr>
          <w:rFonts w:ascii="Times New Roman" w:hAnsi="Times New Roman" w:cs="Times New Roman"/>
        </w:rPr>
        <w:t xml:space="preserve"> ener</w:t>
      </w:r>
      <w:r w:rsidR="00A96C3D">
        <w:rPr>
          <w:rFonts w:ascii="Times New Roman" w:hAnsi="Times New Roman" w:cs="Times New Roman"/>
        </w:rPr>
        <w:t>g</w:t>
      </w:r>
      <w:r w:rsidR="000E1594">
        <w:rPr>
          <w:rFonts w:ascii="Times New Roman" w:hAnsi="Times New Roman" w:cs="Times New Roman"/>
        </w:rPr>
        <w:t>y</w:t>
      </w:r>
      <w:r>
        <w:rPr>
          <w:rFonts w:ascii="Times New Roman" w:hAnsi="Times New Roman" w:cs="Times New Roman"/>
        </w:rPr>
        <w:t xml:space="preserve"> requirement for </w:t>
      </w:r>
      <w:r w:rsidR="00136125">
        <w:rPr>
          <w:rFonts w:ascii="Times New Roman" w:hAnsi="Times New Roman" w:cs="Times New Roman"/>
        </w:rPr>
        <w:t xml:space="preserve">a </w:t>
      </w:r>
      <w:r>
        <w:rPr>
          <w:rFonts w:ascii="Times New Roman" w:hAnsi="Times New Roman" w:cs="Times New Roman"/>
        </w:rPr>
        <w:t>lithium iron phosphate battery should be multiplied by 1.6 to obtain the required battery energy requirement.</w:t>
      </w:r>
      <w:r w:rsidR="00F42AB6">
        <w:rPr>
          <w:rFonts w:ascii="Times New Roman" w:hAnsi="Times New Roman" w:cs="Times New Roman"/>
        </w:rPr>
        <w:t xml:space="preserve">  These factors should be modified if information on applicable datasheets indicates other values should </w:t>
      </w:r>
      <w:r w:rsidR="00740915">
        <w:rPr>
          <w:rFonts w:ascii="Times New Roman" w:hAnsi="Times New Roman" w:cs="Times New Roman"/>
        </w:rPr>
        <w:t>be used.</w:t>
      </w:r>
    </w:p>
    <w:p w14:paraId="6D848405" w14:textId="1497C45F" w:rsidR="00136125" w:rsidRPr="001265AB" w:rsidRDefault="00136125" w:rsidP="001265AB">
      <w:pPr>
        <w:spacing w:before="240"/>
        <w:ind w:left="360"/>
        <w:jc w:val="both"/>
        <w:rPr>
          <w:rFonts w:ascii="Times New Roman" w:hAnsi="Times New Roman" w:cs="Times New Roman"/>
        </w:rPr>
      </w:pPr>
      <w:r>
        <w:rPr>
          <w:rFonts w:ascii="Times New Roman" w:hAnsi="Times New Roman" w:cs="Times New Roman"/>
        </w:rPr>
        <w:t xml:space="preserve">Lead acid batteries should normally have a charge between 50% and fully charged.  </w:t>
      </w:r>
      <w:r w:rsidR="00F42AB6">
        <w:rPr>
          <w:rFonts w:ascii="Times New Roman" w:hAnsi="Times New Roman" w:cs="Times New Roman"/>
        </w:rPr>
        <w:t>Unless data sheets indicate otherwise, t</w:t>
      </w:r>
      <w:r>
        <w:rPr>
          <w:rFonts w:ascii="Times New Roman" w:hAnsi="Times New Roman" w:cs="Times New Roman"/>
        </w:rPr>
        <w:t xml:space="preserve">he calculated </w:t>
      </w:r>
      <w:r w:rsidR="000E1594">
        <w:rPr>
          <w:rFonts w:ascii="Times New Roman" w:hAnsi="Times New Roman" w:cs="Times New Roman"/>
        </w:rPr>
        <w:t xml:space="preserve">energy </w:t>
      </w:r>
      <w:r>
        <w:rPr>
          <w:rFonts w:ascii="Times New Roman" w:hAnsi="Times New Roman" w:cs="Times New Roman"/>
        </w:rPr>
        <w:t>requirement for a lead acid battery should be multiplied by 2.5 to obtain the required battery energy requirement.</w:t>
      </w:r>
    </w:p>
    <w:p w14:paraId="20A10CB8" w14:textId="16E89C51" w:rsidR="001265AB" w:rsidRDefault="001265AB" w:rsidP="00F42AB6">
      <w:pPr>
        <w:spacing w:before="240"/>
        <w:ind w:left="360"/>
        <w:jc w:val="both"/>
        <w:rPr>
          <w:rFonts w:ascii="Times New Roman" w:hAnsi="Times New Roman" w:cs="Times New Roman"/>
        </w:rPr>
      </w:pPr>
      <w:r w:rsidRPr="001265AB">
        <w:rPr>
          <w:rFonts w:ascii="Times New Roman" w:hAnsi="Times New Roman" w:cs="Times New Roman"/>
        </w:rPr>
        <w:t>One of the key factors for end of life is the number of charge and discharge cycles.  Different battery technologies</w:t>
      </w:r>
      <w:r w:rsidR="00EA0194">
        <w:rPr>
          <w:rFonts w:ascii="Times New Roman" w:hAnsi="Times New Roman" w:cs="Times New Roman"/>
        </w:rPr>
        <w:t xml:space="preserve"> and battery design details</w:t>
      </w:r>
      <w:r w:rsidRPr="001265AB">
        <w:rPr>
          <w:rFonts w:ascii="Times New Roman" w:hAnsi="Times New Roman" w:cs="Times New Roman"/>
        </w:rPr>
        <w:t xml:space="preserve"> result in different numbers of charge and discharge cycles before the </w:t>
      </w:r>
      <w:r w:rsidR="00EA0194" w:rsidRPr="001265AB">
        <w:rPr>
          <w:rFonts w:ascii="Times New Roman" w:hAnsi="Times New Roman" w:cs="Times New Roman"/>
        </w:rPr>
        <w:t>end-of-life</w:t>
      </w:r>
      <w:r w:rsidRPr="001265AB">
        <w:rPr>
          <w:rFonts w:ascii="Times New Roman" w:hAnsi="Times New Roman" w:cs="Times New Roman"/>
        </w:rPr>
        <w:t xml:space="preserve"> condition is met. </w:t>
      </w:r>
      <w:r w:rsidR="00EA0194">
        <w:rPr>
          <w:rFonts w:ascii="Times New Roman" w:hAnsi="Times New Roman" w:cs="Times New Roman"/>
        </w:rPr>
        <w:t xml:space="preserve">Datasheets should be consulted to determine the number of charge and discharge cycles the manufacturer expects the battery to be capable of before meeting the end-of-life condition.  </w:t>
      </w:r>
      <w:r w:rsidRPr="001265AB">
        <w:rPr>
          <w:rFonts w:ascii="Times New Roman" w:hAnsi="Times New Roman" w:cs="Times New Roman"/>
        </w:rPr>
        <w:t>In most cases, the end</w:t>
      </w:r>
      <w:r w:rsidR="00EA0194">
        <w:rPr>
          <w:rFonts w:ascii="Times New Roman" w:hAnsi="Times New Roman" w:cs="Times New Roman"/>
        </w:rPr>
        <w:t>-</w:t>
      </w:r>
      <w:r w:rsidRPr="001265AB">
        <w:rPr>
          <w:rFonts w:ascii="Times New Roman" w:hAnsi="Times New Roman" w:cs="Times New Roman"/>
        </w:rPr>
        <w:t>of</w:t>
      </w:r>
      <w:r w:rsidR="00EA0194">
        <w:rPr>
          <w:rFonts w:ascii="Times New Roman" w:hAnsi="Times New Roman" w:cs="Times New Roman"/>
        </w:rPr>
        <w:t>-</w:t>
      </w:r>
      <w:r w:rsidRPr="001265AB">
        <w:rPr>
          <w:rFonts w:ascii="Times New Roman" w:hAnsi="Times New Roman" w:cs="Times New Roman"/>
        </w:rPr>
        <w:t xml:space="preserve">life for the batteries is less than the service life of the ship; provisions should be provided to easily replace the batteries. </w:t>
      </w:r>
      <w:r w:rsidR="00F848CF">
        <w:rPr>
          <w:rFonts w:ascii="Times New Roman" w:hAnsi="Times New Roman" w:cs="Times New Roman"/>
        </w:rPr>
        <w:t>(</w:t>
      </w:r>
      <w:r w:rsidR="00F848CF">
        <w:rPr>
          <w:rFonts w:ascii="Times New Roman" w:hAnsi="Times New Roman" w:cs="Times New Roman"/>
        </w:rPr>
        <w:fldChar w:fldCharType="begin"/>
      </w:r>
      <w:r w:rsidR="00F848CF">
        <w:rPr>
          <w:rFonts w:ascii="Times New Roman" w:hAnsi="Times New Roman" w:cs="Times New Roman"/>
        </w:rPr>
        <w:instrText xml:space="preserve"> REF _Ref232083962 \h  \* MERGEFORMAT </w:instrText>
      </w:r>
      <w:r w:rsidR="00F848CF">
        <w:rPr>
          <w:rFonts w:ascii="Times New Roman" w:hAnsi="Times New Roman" w:cs="Times New Roman"/>
        </w:rPr>
      </w:r>
      <w:r w:rsidR="00F848CF">
        <w:rPr>
          <w:rFonts w:ascii="Times New Roman" w:hAnsi="Times New Roman" w:cs="Times New Roman"/>
        </w:rPr>
        <w:fldChar w:fldCharType="separate"/>
      </w:r>
      <w:r w:rsidR="00F848CF" w:rsidRPr="00F848CF">
        <w:rPr>
          <w:rFonts w:ascii="Times New Roman" w:hAnsi="Times New Roman" w:cs="Times New Roman"/>
        </w:rPr>
        <w:t>Figure 2</w:t>
      </w:r>
      <w:r w:rsidR="00F848CF">
        <w:rPr>
          <w:rFonts w:ascii="Times New Roman" w:hAnsi="Times New Roman" w:cs="Times New Roman"/>
        </w:rPr>
        <w:fldChar w:fldCharType="end"/>
      </w:r>
      <w:r w:rsidR="00F848CF">
        <w:rPr>
          <w:rFonts w:ascii="Times New Roman" w:hAnsi="Times New Roman" w:cs="Times New Roman"/>
        </w:rPr>
        <w:t>)</w:t>
      </w:r>
    </w:p>
    <w:p w14:paraId="6F07ABF2" w14:textId="37998556" w:rsidR="001265AB" w:rsidRPr="001265AB" w:rsidRDefault="001265AB" w:rsidP="001265AB">
      <w:pPr>
        <w:spacing w:before="240"/>
        <w:ind w:left="360"/>
        <w:rPr>
          <w:rFonts w:ascii="Times New Roman" w:hAnsi="Times New Roman" w:cs="Times New Roman"/>
        </w:rPr>
      </w:pPr>
      <w:r w:rsidRPr="001265AB">
        <w:rPr>
          <w:rFonts w:ascii="Times New Roman" w:hAnsi="Times New Roman" w:cs="Times New Roman"/>
        </w:rPr>
        <w:t xml:space="preserve">Large batteries usually require special off-gas vent systems, cooling systems, and firefighting systems. </w:t>
      </w:r>
    </w:p>
    <w:p w14:paraId="00D2D2D5" w14:textId="73D47721" w:rsidR="001265AB" w:rsidRDefault="001265AB" w:rsidP="001265AB">
      <w:pPr>
        <w:spacing w:before="240"/>
        <w:ind w:left="360"/>
        <w:rPr>
          <w:rFonts w:ascii="Times New Roman" w:hAnsi="Times New Roman" w:cs="Times New Roman"/>
        </w:rPr>
      </w:pPr>
      <w:r w:rsidRPr="001265AB">
        <w:rPr>
          <w:rFonts w:ascii="Times New Roman" w:hAnsi="Times New Roman" w:cs="Times New Roman"/>
        </w:rPr>
        <w:t>See IEEE Std 45.1, ABS (2025) and Sun, Patel and Hou (2020) for additional details on battery installations onboard ship.</w:t>
      </w:r>
    </w:p>
    <w:p w14:paraId="5149C735" w14:textId="10A34A0E" w:rsidR="00F848CF" w:rsidRDefault="00F848CF" w:rsidP="00F848CF">
      <w:pPr>
        <w:spacing w:before="240"/>
        <w:ind w:left="360"/>
        <w:jc w:val="center"/>
        <w:rPr>
          <w:rFonts w:ascii="Times New Roman" w:hAnsi="Times New Roman" w:cs="Times New Roman"/>
        </w:rPr>
      </w:pPr>
      <w:r>
        <w:rPr>
          <w:noProof/>
        </w:rPr>
        <w:lastRenderedPageBreak/>
        <w:drawing>
          <wp:inline distT="0" distB="0" distL="0" distR="0" wp14:anchorId="1E7232FE" wp14:editId="4C361ADA">
            <wp:extent cx="2965535" cy="2224151"/>
            <wp:effectExtent l="8890" t="0" r="0" b="0"/>
            <wp:docPr id="187949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977873" cy="2233405"/>
                    </a:xfrm>
                    <a:prstGeom prst="rect">
                      <a:avLst/>
                    </a:prstGeom>
                    <a:noFill/>
                    <a:ln>
                      <a:noFill/>
                    </a:ln>
                  </pic:spPr>
                </pic:pic>
              </a:graphicData>
            </a:graphic>
          </wp:inline>
        </w:drawing>
      </w:r>
    </w:p>
    <w:p w14:paraId="6A74E0C4" w14:textId="5473C323" w:rsidR="00F848CF" w:rsidRPr="001265AB" w:rsidRDefault="00F848CF" w:rsidP="00F848CF">
      <w:pPr>
        <w:pStyle w:val="Caption"/>
        <w:rPr>
          <w:rFonts w:ascii="Times New Roman" w:hAnsi="Times New Roman" w:cs="Times New Roman"/>
        </w:rPr>
      </w:pPr>
      <w:bookmarkStart w:id="1" w:name="_Ref232083962"/>
      <w:r>
        <w:t xml:space="preserve">Figure </w:t>
      </w:r>
      <w:fldSimple w:instr=" SEQ Figure \* ARABIC ">
        <w:r>
          <w:rPr>
            <w:noProof/>
          </w:rPr>
          <w:t>2</w:t>
        </w:r>
      </w:fldSimple>
      <w:bookmarkEnd w:id="1"/>
      <w:r>
        <w:t>: Batteries staged for replacement on Ruby Princess (2024 Photo by Norbert Doerry)</w:t>
      </w:r>
    </w:p>
    <w:p w14:paraId="7A71FD92" w14:textId="0564C7D8" w:rsidR="00865C6C" w:rsidRDefault="00865C6C" w:rsidP="00865C6C">
      <w:pPr>
        <w:pStyle w:val="ListParagraph"/>
        <w:keepNext/>
        <w:numPr>
          <w:ilvl w:val="1"/>
          <w:numId w:val="1"/>
        </w:numPr>
        <w:spacing w:before="240"/>
        <w:contextualSpacing w:val="0"/>
        <w:rPr>
          <w:rFonts w:ascii="Times New Roman" w:hAnsi="Times New Roman" w:cs="Times New Roman"/>
        </w:rPr>
      </w:pPr>
      <w:r>
        <w:rPr>
          <w:rFonts w:ascii="Times New Roman" w:hAnsi="Times New Roman" w:cs="Times New Roman"/>
        </w:rPr>
        <w:t>Flywheels</w:t>
      </w:r>
    </w:p>
    <w:p w14:paraId="3D118FEB" w14:textId="77777777" w:rsidR="00C61452" w:rsidRDefault="00C61452" w:rsidP="00C61452">
      <w:pPr>
        <w:spacing w:before="240"/>
        <w:ind w:left="360"/>
        <w:jc w:val="both"/>
        <w:rPr>
          <w:rFonts w:ascii="Times New Roman" w:hAnsi="Times New Roman" w:cs="Times New Roman"/>
        </w:rPr>
      </w:pPr>
      <w:r w:rsidRPr="00C61452">
        <w:rPr>
          <w:rFonts w:ascii="Times New Roman" w:hAnsi="Times New Roman" w:cs="Times New Roman"/>
        </w:rPr>
        <w:t>Flywheels use rotational kinetic energy to store energy. A combination motor/generator driven by a bi-directional power electronic converter performs the conversion between electrical</w:t>
      </w:r>
      <w:r>
        <w:rPr>
          <w:rFonts w:ascii="Times New Roman" w:hAnsi="Times New Roman" w:cs="Times New Roman"/>
        </w:rPr>
        <w:t xml:space="preserve"> </w:t>
      </w:r>
      <w:r w:rsidRPr="00C61452">
        <w:rPr>
          <w:rFonts w:ascii="Times New Roman" w:hAnsi="Times New Roman" w:cs="Times New Roman"/>
        </w:rPr>
        <w:t xml:space="preserve">energy and rotational kinetic energy. Compared to lithium batteries, flywheels usually can support higher charge and discharge rates but have lower energy capacity. Flywheels can be designed to have a service life consistent with the service life of the ship; they </w:t>
      </w:r>
      <w:r>
        <w:rPr>
          <w:rFonts w:ascii="Times New Roman" w:hAnsi="Times New Roman" w:cs="Times New Roman"/>
        </w:rPr>
        <w:t>may</w:t>
      </w:r>
      <w:r w:rsidRPr="00C61452">
        <w:rPr>
          <w:rFonts w:ascii="Times New Roman" w:hAnsi="Times New Roman" w:cs="Times New Roman"/>
        </w:rPr>
        <w:t xml:space="preserve"> not require replacement during the ship’s life. </w:t>
      </w:r>
      <w:r>
        <w:rPr>
          <w:rFonts w:ascii="Times New Roman" w:hAnsi="Times New Roman" w:cs="Times New Roman"/>
        </w:rPr>
        <w:t xml:space="preserve"> Commercial flywheels are available with a stated service life in excess of 20 years.  </w:t>
      </w:r>
      <w:r w:rsidRPr="00C61452">
        <w:rPr>
          <w:rFonts w:ascii="Times New Roman" w:hAnsi="Times New Roman" w:cs="Times New Roman"/>
        </w:rPr>
        <w:t xml:space="preserve">While a flywheel is likely to be more expensive than the initial installation cost of a comparable battery system, the need to replace the batteries multiple times over the ship’s life may result in the flywheel having a lower total ownership cost. </w:t>
      </w:r>
    </w:p>
    <w:p w14:paraId="35094459" w14:textId="1E7E9F8A" w:rsidR="00C61452" w:rsidRDefault="00C61452" w:rsidP="00C61452">
      <w:pPr>
        <w:spacing w:before="240"/>
        <w:ind w:left="360"/>
        <w:jc w:val="both"/>
        <w:rPr>
          <w:rFonts w:ascii="Times New Roman" w:hAnsi="Times New Roman" w:cs="Times New Roman"/>
        </w:rPr>
      </w:pPr>
      <w:r>
        <w:rPr>
          <w:rFonts w:ascii="Times New Roman" w:hAnsi="Times New Roman" w:cs="Times New Roman"/>
        </w:rPr>
        <w:t xml:space="preserve">The rated energy of a flywheel </w:t>
      </w:r>
      <w:r w:rsidR="006D7AC4">
        <w:rPr>
          <w:rFonts w:ascii="Times New Roman" w:hAnsi="Times New Roman" w:cs="Times New Roman"/>
        </w:rPr>
        <w:t>may not be</w:t>
      </w:r>
      <w:r>
        <w:rPr>
          <w:rFonts w:ascii="Times New Roman" w:hAnsi="Times New Roman" w:cs="Times New Roman"/>
        </w:rPr>
        <w:t xml:space="preserve"> the maximum </w:t>
      </w:r>
      <w:r w:rsidR="006D7AC4">
        <w:rPr>
          <w:rFonts w:ascii="Times New Roman" w:hAnsi="Times New Roman" w:cs="Times New Roman"/>
        </w:rPr>
        <w:t xml:space="preserve">amount of electrical energy that can be extracted from the </w:t>
      </w:r>
      <w:r w:rsidR="00793D27">
        <w:rPr>
          <w:rFonts w:ascii="Times New Roman" w:hAnsi="Times New Roman" w:cs="Times New Roman"/>
        </w:rPr>
        <w:t>flywheel (maximum useable energy)</w:t>
      </w:r>
      <w:r w:rsidR="00FE49E1">
        <w:rPr>
          <w:rFonts w:ascii="Times New Roman" w:hAnsi="Times New Roman" w:cs="Times New Roman"/>
        </w:rPr>
        <w:t xml:space="preserve">. </w:t>
      </w:r>
      <w:r w:rsidR="006D7AC4">
        <w:rPr>
          <w:rFonts w:ascii="Times New Roman" w:hAnsi="Times New Roman" w:cs="Times New Roman"/>
        </w:rPr>
        <w:t xml:space="preserve"> Datasheets should be closely examined to determine if the rated energy is the maximum kinetic energy that can be stored, or the maximum useable energy.</w:t>
      </w:r>
      <w:r w:rsidR="00FE49E1">
        <w:rPr>
          <w:rFonts w:ascii="Times New Roman" w:hAnsi="Times New Roman" w:cs="Times New Roman"/>
        </w:rPr>
        <w:t xml:space="preserve"> </w:t>
      </w:r>
      <w:r w:rsidR="006D7AC4">
        <w:rPr>
          <w:rFonts w:ascii="Times New Roman" w:hAnsi="Times New Roman" w:cs="Times New Roman"/>
        </w:rPr>
        <w:t xml:space="preserve">Flywheels typically are not allowed to slow down below 50 to 70% of their rated speed.  Additionally, some of the energy is lost in power conversion.  </w:t>
      </w:r>
      <w:r w:rsidR="00FE49E1">
        <w:rPr>
          <w:rFonts w:ascii="Times New Roman" w:hAnsi="Times New Roman" w:cs="Times New Roman"/>
        </w:rPr>
        <w:t xml:space="preserve">The </w:t>
      </w:r>
      <w:r w:rsidR="00793D27">
        <w:rPr>
          <w:rFonts w:ascii="Times New Roman" w:hAnsi="Times New Roman" w:cs="Times New Roman"/>
        </w:rPr>
        <w:t xml:space="preserve">maximum useable energy </w:t>
      </w:r>
      <w:r w:rsidR="00FE49E1">
        <w:rPr>
          <w:rFonts w:ascii="Times New Roman" w:hAnsi="Times New Roman" w:cs="Times New Roman"/>
        </w:rPr>
        <w:t xml:space="preserve">may be about </w:t>
      </w:r>
      <w:r w:rsidR="00793D27">
        <w:rPr>
          <w:rFonts w:ascii="Times New Roman" w:hAnsi="Times New Roman" w:cs="Times New Roman"/>
        </w:rPr>
        <w:t>45 to 70</w:t>
      </w:r>
      <w:r w:rsidR="00FE49E1">
        <w:rPr>
          <w:rFonts w:ascii="Times New Roman" w:hAnsi="Times New Roman" w:cs="Times New Roman"/>
        </w:rPr>
        <w:t xml:space="preserve">% of </w:t>
      </w:r>
      <w:r w:rsidR="006D7AC4">
        <w:rPr>
          <w:rFonts w:ascii="Times New Roman" w:hAnsi="Times New Roman" w:cs="Times New Roman"/>
        </w:rPr>
        <w:t>the maximum kinetic energy</w:t>
      </w:r>
      <w:r w:rsidR="00FE49E1">
        <w:rPr>
          <w:rFonts w:ascii="Times New Roman" w:hAnsi="Times New Roman" w:cs="Times New Roman"/>
        </w:rPr>
        <w:t>.</w:t>
      </w:r>
    </w:p>
    <w:p w14:paraId="3C42DFA7" w14:textId="7D7CF009" w:rsidR="00C61452" w:rsidRPr="00C61452" w:rsidRDefault="00C61452" w:rsidP="00C61452">
      <w:pPr>
        <w:spacing w:before="240"/>
        <w:ind w:left="360"/>
        <w:jc w:val="both"/>
        <w:rPr>
          <w:rFonts w:ascii="Times New Roman" w:hAnsi="Times New Roman" w:cs="Times New Roman"/>
        </w:rPr>
      </w:pPr>
      <w:r w:rsidRPr="00C61452">
        <w:rPr>
          <w:rFonts w:ascii="Times New Roman" w:hAnsi="Times New Roman" w:cs="Times New Roman"/>
        </w:rPr>
        <w:t>See Sun, Patel and Hou (2020) for additional information on shipboard flywheel applications</w:t>
      </w:r>
    </w:p>
    <w:p w14:paraId="45E82FAF" w14:textId="7107A666" w:rsidR="00865C6C" w:rsidRDefault="00865C6C" w:rsidP="00865C6C">
      <w:pPr>
        <w:pStyle w:val="ListParagraph"/>
        <w:keepNext/>
        <w:numPr>
          <w:ilvl w:val="1"/>
          <w:numId w:val="1"/>
        </w:numPr>
        <w:spacing w:before="240"/>
        <w:contextualSpacing w:val="0"/>
        <w:rPr>
          <w:rFonts w:ascii="Times New Roman" w:hAnsi="Times New Roman" w:cs="Times New Roman"/>
        </w:rPr>
      </w:pPr>
      <w:r>
        <w:rPr>
          <w:rFonts w:ascii="Times New Roman" w:hAnsi="Times New Roman" w:cs="Times New Roman"/>
        </w:rPr>
        <w:t>Super-Capacitors</w:t>
      </w:r>
    </w:p>
    <w:p w14:paraId="2ED9383C" w14:textId="1E7DE968" w:rsidR="00136A71" w:rsidRDefault="00136A71" w:rsidP="00136A71">
      <w:pPr>
        <w:spacing w:before="240"/>
        <w:ind w:left="360"/>
        <w:jc w:val="both"/>
        <w:rPr>
          <w:rFonts w:ascii="Times New Roman" w:hAnsi="Times New Roman" w:cs="Times New Roman"/>
        </w:rPr>
      </w:pPr>
      <w:r w:rsidRPr="00136A71">
        <w:rPr>
          <w:rFonts w:ascii="Times New Roman" w:hAnsi="Times New Roman" w:cs="Times New Roman"/>
        </w:rPr>
        <w:t xml:space="preserve">A super-capacitor stores electrical energy in the electric field of the capacitor. </w:t>
      </w:r>
      <w:r>
        <w:rPr>
          <w:rFonts w:ascii="Times New Roman" w:hAnsi="Times New Roman" w:cs="Times New Roman"/>
        </w:rPr>
        <w:t xml:space="preserve"> </w:t>
      </w:r>
      <w:r w:rsidRPr="00136A71">
        <w:rPr>
          <w:rFonts w:ascii="Times New Roman" w:hAnsi="Times New Roman" w:cs="Times New Roman"/>
        </w:rPr>
        <w:t xml:space="preserve">Super-capacitors have very high charge and discharge rates, but their energy density is typically lower than </w:t>
      </w:r>
      <w:r w:rsidRPr="00136A71">
        <w:rPr>
          <w:rFonts w:ascii="Times New Roman" w:hAnsi="Times New Roman" w:cs="Times New Roman"/>
        </w:rPr>
        <w:lastRenderedPageBreak/>
        <w:t xml:space="preserve">batteries or flywheels. Similar to a BESS, a capacitor energy storage system is composed of series and parallel combinations of individual supercapacitors and employs a capacitor management system. </w:t>
      </w:r>
      <w:r w:rsidR="003E6DF6">
        <w:rPr>
          <w:rFonts w:ascii="Times New Roman" w:hAnsi="Times New Roman" w:cs="Times New Roman"/>
        </w:rPr>
        <w:t xml:space="preserve"> Individual supercapacitors are commercially available with capacitances in the 100’s of Farads, but with a rated maximum voltage </w:t>
      </w:r>
      <w:r w:rsidR="00A96C3D">
        <w:rPr>
          <w:rFonts w:ascii="Times New Roman" w:hAnsi="Times New Roman" w:cs="Times New Roman"/>
        </w:rPr>
        <w:t xml:space="preserve">only </w:t>
      </w:r>
      <w:r w:rsidR="003E6DF6">
        <w:rPr>
          <w:rFonts w:ascii="Times New Roman" w:hAnsi="Times New Roman" w:cs="Times New Roman"/>
        </w:rPr>
        <w:t>between 2.5 and 3 volts.</w:t>
      </w:r>
    </w:p>
    <w:p w14:paraId="1F64AC12" w14:textId="22920F59" w:rsidR="00136A71" w:rsidRDefault="00136A71" w:rsidP="00136A71">
      <w:pPr>
        <w:spacing w:before="240"/>
        <w:ind w:left="360"/>
        <w:jc w:val="both"/>
        <w:rPr>
          <w:rFonts w:ascii="Times New Roman" w:hAnsi="Times New Roman" w:cs="Times New Roman"/>
        </w:rPr>
      </w:pPr>
      <w:r>
        <w:rPr>
          <w:rFonts w:ascii="Times New Roman" w:hAnsi="Times New Roman" w:cs="Times New Roman"/>
        </w:rPr>
        <w:t>The energy stored in a capacitor (</w:t>
      </w:r>
      <w:r w:rsidRPr="00136A71">
        <w:rPr>
          <w:rFonts w:ascii="Times New Roman" w:hAnsi="Times New Roman" w:cs="Times New Roman"/>
          <w:i/>
          <w:iCs/>
        </w:rPr>
        <w:t>E</w:t>
      </w:r>
      <w:r w:rsidRPr="00136A71">
        <w:rPr>
          <w:rFonts w:ascii="Times New Roman" w:hAnsi="Times New Roman" w:cs="Times New Roman"/>
          <w:i/>
          <w:iCs/>
          <w:vertAlign w:val="subscript"/>
        </w:rPr>
        <w:t>capacitor</w:t>
      </w:r>
      <w:r>
        <w:rPr>
          <w:rFonts w:ascii="Times New Roman" w:hAnsi="Times New Roman" w:cs="Times New Roman"/>
        </w:rPr>
        <w:t>) is given by:</w:t>
      </w:r>
    </w:p>
    <w:p w14:paraId="1AC88451" w14:textId="7CAB44F5" w:rsidR="00136A71" w:rsidRPr="00136A71" w:rsidRDefault="00F92914" w:rsidP="00136A71">
      <w:pPr>
        <w:spacing w:before="240"/>
        <w:ind w:left="360"/>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capacitor</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oMath>
      </m:oMathPara>
    </w:p>
    <w:p w14:paraId="5D4CA715" w14:textId="3A571C2C" w:rsidR="00136A71" w:rsidRDefault="00136A71" w:rsidP="00136A71">
      <w:pPr>
        <w:spacing w:before="240"/>
        <w:ind w:left="360"/>
        <w:jc w:val="both"/>
        <w:rPr>
          <w:rFonts w:ascii="Times New Roman" w:hAnsi="Times New Roman" w:cs="Times New Roman"/>
        </w:rPr>
      </w:pPr>
      <w:proofErr w:type="gramStart"/>
      <w:r>
        <w:rPr>
          <w:rFonts w:ascii="Times New Roman" w:hAnsi="Times New Roman" w:cs="Times New Roman"/>
        </w:rPr>
        <w:t>Where</w:t>
      </w:r>
      <w:proofErr w:type="gramEnd"/>
    </w:p>
    <w:p w14:paraId="5F5B25D3" w14:textId="717B9B6A" w:rsidR="00136A71" w:rsidRDefault="00136A71" w:rsidP="00136A71">
      <w:pPr>
        <w:spacing w:before="240"/>
        <w:ind w:left="360"/>
        <w:jc w:val="both"/>
        <w:rPr>
          <w:rFonts w:ascii="Times New Roman" w:hAnsi="Times New Roman" w:cs="Times New Roman"/>
        </w:rPr>
      </w:pPr>
      <w:r w:rsidRPr="00B75321">
        <w:rPr>
          <w:rFonts w:ascii="Times New Roman" w:hAnsi="Times New Roman" w:cs="Times New Roman"/>
          <w:i/>
          <w:iCs/>
        </w:rPr>
        <w:t>C</w:t>
      </w:r>
      <w:r>
        <w:rPr>
          <w:rFonts w:ascii="Times New Roman" w:hAnsi="Times New Roman" w:cs="Times New Roman"/>
        </w:rPr>
        <w:t xml:space="preserve"> = capacitance</w:t>
      </w:r>
    </w:p>
    <w:p w14:paraId="105C9E99" w14:textId="1C9EF433" w:rsidR="00136A71" w:rsidRDefault="00136A71" w:rsidP="00136A71">
      <w:pPr>
        <w:spacing w:before="240"/>
        <w:ind w:left="360"/>
        <w:jc w:val="both"/>
        <w:rPr>
          <w:rFonts w:ascii="Times New Roman" w:hAnsi="Times New Roman" w:cs="Times New Roman"/>
        </w:rPr>
      </w:pPr>
      <w:r w:rsidRPr="00B75321">
        <w:rPr>
          <w:rFonts w:ascii="Times New Roman" w:hAnsi="Times New Roman" w:cs="Times New Roman"/>
          <w:i/>
          <w:iCs/>
        </w:rPr>
        <w:t>V</w:t>
      </w:r>
      <w:r>
        <w:rPr>
          <w:rFonts w:ascii="Times New Roman" w:hAnsi="Times New Roman" w:cs="Times New Roman"/>
        </w:rPr>
        <w:t xml:space="preserve"> = voltage</w:t>
      </w:r>
    </w:p>
    <w:p w14:paraId="6EA4F6EE" w14:textId="5BB2E3EE" w:rsidR="00B75321" w:rsidRDefault="00B75321" w:rsidP="007E463C">
      <w:pPr>
        <w:spacing w:before="240"/>
        <w:ind w:left="360"/>
        <w:jc w:val="both"/>
        <w:rPr>
          <w:rFonts w:ascii="Times New Roman" w:hAnsi="Times New Roman" w:cs="Times New Roman"/>
        </w:rPr>
      </w:pPr>
      <w:r>
        <w:rPr>
          <w:rFonts w:ascii="Times New Roman" w:hAnsi="Times New Roman" w:cs="Times New Roman"/>
        </w:rPr>
        <w:t xml:space="preserve">The useable energy is the difference between the energy when the voltage is at its maximum operating voltage and when it is at its minimum operating voltage, reduced by the losses in the effective series resistance </w:t>
      </w:r>
      <w:r w:rsidR="00DA120F">
        <w:rPr>
          <w:rFonts w:ascii="Times New Roman" w:hAnsi="Times New Roman" w:cs="Times New Roman"/>
        </w:rPr>
        <w:t xml:space="preserve">(ESR) </w:t>
      </w:r>
      <w:r>
        <w:rPr>
          <w:rFonts w:ascii="Times New Roman" w:hAnsi="Times New Roman" w:cs="Times New Roman"/>
        </w:rPr>
        <w:t xml:space="preserve">when discharging.  </w:t>
      </w:r>
    </w:p>
    <w:p w14:paraId="1DA65F06" w14:textId="5F510FA3" w:rsidR="007E463C" w:rsidRDefault="00136A71" w:rsidP="007E463C">
      <w:pPr>
        <w:spacing w:before="240"/>
        <w:ind w:left="360"/>
        <w:jc w:val="both"/>
        <w:rPr>
          <w:rFonts w:ascii="Times New Roman" w:hAnsi="Times New Roman" w:cs="Times New Roman"/>
        </w:rPr>
      </w:pPr>
      <w:r>
        <w:rPr>
          <w:rFonts w:ascii="Times New Roman" w:hAnsi="Times New Roman" w:cs="Times New Roman"/>
        </w:rPr>
        <w:t>The life of a supercapacitor depends on both the temperature and the voltage.  The life roughly doubles for every 10° C decrease in temperature or 0.1 volt decrease in voltage.</w:t>
      </w:r>
      <w:r w:rsidR="007E463C">
        <w:rPr>
          <w:rFonts w:ascii="Times New Roman" w:hAnsi="Times New Roman" w:cs="Times New Roman"/>
        </w:rPr>
        <w:t xml:space="preserve">  A typical life of a super capacitor is 1500 hours at the rated temperature (typically </w:t>
      </w:r>
      <w:r w:rsidR="00D35749">
        <w:rPr>
          <w:rFonts w:ascii="Times New Roman" w:hAnsi="Times New Roman" w:cs="Times New Roman"/>
        </w:rPr>
        <w:t xml:space="preserve">60 to </w:t>
      </w:r>
      <w:r w:rsidR="007E463C">
        <w:rPr>
          <w:rFonts w:ascii="Times New Roman" w:hAnsi="Times New Roman" w:cs="Times New Roman"/>
        </w:rPr>
        <w:t>65° C) and rated voltage (3 Volts is not unusual).  The end of life is usually established as a loss of 2</w:t>
      </w:r>
      <w:r w:rsidR="00D35749">
        <w:rPr>
          <w:rFonts w:ascii="Times New Roman" w:hAnsi="Times New Roman" w:cs="Times New Roman"/>
        </w:rPr>
        <w:t>0 to 30%</w:t>
      </w:r>
      <w:r w:rsidR="007E463C">
        <w:rPr>
          <w:rFonts w:ascii="Times New Roman" w:hAnsi="Times New Roman" w:cs="Times New Roman"/>
        </w:rPr>
        <w:t xml:space="preserve"> of rated capacitance.</w:t>
      </w:r>
      <w:r w:rsidR="00A96C3D">
        <w:rPr>
          <w:rFonts w:ascii="Times New Roman" w:hAnsi="Times New Roman" w:cs="Times New Roman"/>
        </w:rPr>
        <w:t xml:space="preserve">  Datasheets should be consulted for the properties of a given supercapacitor.</w:t>
      </w:r>
    </w:p>
    <w:p w14:paraId="37DCEB4A" w14:textId="44E9E875" w:rsidR="00D35749" w:rsidRDefault="00B75321" w:rsidP="007E463C">
      <w:pPr>
        <w:spacing w:before="240"/>
        <w:ind w:left="360"/>
        <w:jc w:val="both"/>
        <w:rPr>
          <w:rFonts w:ascii="Times New Roman" w:hAnsi="Times New Roman" w:cs="Times New Roman"/>
        </w:rPr>
      </w:pPr>
      <w:r>
        <w:rPr>
          <w:rFonts w:ascii="Times New Roman" w:hAnsi="Times New Roman" w:cs="Times New Roman"/>
        </w:rPr>
        <w:t xml:space="preserve">If the capacitors can be kept cool, and the maximum operating voltage is kept near a half a volt less than the rated voltage, the life of a super capacitor could </w:t>
      </w:r>
      <w:r w:rsidR="00654E99">
        <w:rPr>
          <w:rFonts w:ascii="Times New Roman" w:hAnsi="Times New Roman" w:cs="Times New Roman"/>
        </w:rPr>
        <w:t>exceed</w:t>
      </w:r>
      <w:r>
        <w:rPr>
          <w:rFonts w:ascii="Times New Roman" w:hAnsi="Times New Roman" w:cs="Times New Roman"/>
        </w:rPr>
        <w:t xml:space="preserve"> </w:t>
      </w:r>
      <w:r w:rsidR="00184D4A">
        <w:rPr>
          <w:rFonts w:ascii="Times New Roman" w:hAnsi="Times New Roman" w:cs="Times New Roman"/>
        </w:rPr>
        <w:t>1</w:t>
      </w:r>
      <w:r>
        <w:rPr>
          <w:rFonts w:ascii="Times New Roman" w:hAnsi="Times New Roman" w:cs="Times New Roman"/>
        </w:rPr>
        <w:t xml:space="preserve">50,000 hours; </w:t>
      </w:r>
    </w:p>
    <w:p w14:paraId="36F4DF04" w14:textId="0C03DE19" w:rsidR="00B75321" w:rsidRDefault="00DA120F" w:rsidP="007E463C">
      <w:pPr>
        <w:spacing w:before="240"/>
        <w:ind w:left="360"/>
        <w:jc w:val="both"/>
        <w:rPr>
          <w:rFonts w:ascii="Times New Roman" w:hAnsi="Times New Roman" w:cs="Times New Roman"/>
        </w:rPr>
      </w:pPr>
      <w:r>
        <w:rPr>
          <w:rFonts w:ascii="Times New Roman" w:hAnsi="Times New Roman" w:cs="Times New Roman"/>
        </w:rPr>
        <w:t>The minimum capacitance value is initially chosen based on the minimum and maximum operating voltages, the ESR, and the current discharge profile.</w:t>
      </w:r>
      <w:r w:rsidR="00FD664B">
        <w:rPr>
          <w:rFonts w:ascii="Times New Roman" w:hAnsi="Times New Roman" w:cs="Times New Roman"/>
        </w:rPr>
        <w:t xml:space="preserve"> The minimum and maximum operating voltage hav</w:t>
      </w:r>
      <w:r w:rsidR="00A96C3D">
        <w:rPr>
          <w:rFonts w:ascii="Times New Roman" w:hAnsi="Times New Roman" w:cs="Times New Roman"/>
        </w:rPr>
        <w:t>e</w:t>
      </w:r>
      <w:r w:rsidR="00FD664B">
        <w:rPr>
          <w:rFonts w:ascii="Times New Roman" w:hAnsi="Times New Roman" w:cs="Times New Roman"/>
        </w:rPr>
        <w:t xml:space="preserve"> corresponding minimum and maximum operating SOC</w:t>
      </w:r>
      <w:r w:rsidR="00A96C3D">
        <w:rPr>
          <w:rFonts w:ascii="Times New Roman" w:hAnsi="Times New Roman" w:cs="Times New Roman"/>
        </w:rPr>
        <w:t>s</w:t>
      </w:r>
      <w:r w:rsidR="00FD664B">
        <w:rPr>
          <w:rFonts w:ascii="Times New Roman" w:hAnsi="Times New Roman" w:cs="Times New Roman"/>
        </w:rPr>
        <w:t>.</w:t>
      </w:r>
      <w:r>
        <w:rPr>
          <w:rFonts w:ascii="Times New Roman" w:hAnsi="Times New Roman" w:cs="Times New Roman"/>
        </w:rPr>
        <w:t xml:space="preserve">  Since capacitors typically have a 20% tolerance, and the capacitance may degrade with time, the minimum capacitance value should be multiplied by about 1.8 </w:t>
      </w:r>
      <w:r w:rsidR="00654E99">
        <w:rPr>
          <w:rFonts w:ascii="Times New Roman" w:hAnsi="Times New Roman" w:cs="Times New Roman"/>
        </w:rPr>
        <w:t>when selecting a capacitor in order to confidently meet the energy storage needs over time.</w:t>
      </w:r>
    </w:p>
    <w:p w14:paraId="13DB6760" w14:textId="7EEA4E8B" w:rsidR="00136A71" w:rsidRPr="00136A71" w:rsidRDefault="00136A71" w:rsidP="00136A71">
      <w:pPr>
        <w:spacing w:before="240"/>
        <w:ind w:left="360"/>
        <w:jc w:val="both"/>
        <w:rPr>
          <w:rFonts w:ascii="Times New Roman" w:hAnsi="Times New Roman" w:cs="Times New Roman"/>
        </w:rPr>
      </w:pPr>
      <w:r w:rsidRPr="00136A71">
        <w:rPr>
          <w:rFonts w:ascii="Times New Roman" w:hAnsi="Times New Roman" w:cs="Times New Roman"/>
        </w:rPr>
        <w:t>See ABS (2022) and Sun, Patel and Hou (2020) for additional information on shipboard super capacitor applications.</w:t>
      </w:r>
    </w:p>
    <w:p w14:paraId="5FC4534E" w14:textId="18258632" w:rsidR="0080528C" w:rsidRDefault="00865C6C" w:rsidP="0080528C">
      <w:pPr>
        <w:pStyle w:val="ListParagraph"/>
        <w:keepNext/>
        <w:numPr>
          <w:ilvl w:val="0"/>
          <w:numId w:val="1"/>
        </w:numPr>
        <w:spacing w:before="240"/>
        <w:contextualSpacing w:val="0"/>
        <w:rPr>
          <w:rFonts w:ascii="Times New Roman" w:hAnsi="Times New Roman" w:cs="Times New Roman"/>
        </w:rPr>
      </w:pPr>
      <w:r>
        <w:rPr>
          <w:rFonts w:ascii="Times New Roman" w:hAnsi="Times New Roman" w:cs="Times New Roman"/>
        </w:rPr>
        <w:lastRenderedPageBreak/>
        <w:t>Quasi-steady state analysis</w:t>
      </w:r>
    </w:p>
    <w:p w14:paraId="619CE346" w14:textId="77777777" w:rsidR="009B628B" w:rsidRDefault="00214F85" w:rsidP="00214F85">
      <w:pPr>
        <w:spacing w:before="240"/>
        <w:jc w:val="both"/>
        <w:rPr>
          <w:rFonts w:ascii="Times New Roman" w:hAnsi="Times New Roman" w:cs="Times New Roman"/>
        </w:rPr>
      </w:pPr>
      <w:r>
        <w:rPr>
          <w:rFonts w:ascii="Times New Roman" w:hAnsi="Times New Roman" w:cs="Times New Roman"/>
        </w:rPr>
        <w:t xml:space="preserve">Many of the analyses used to support determining required energy storage capacity employ quasi-steady state analysis.  In quasi-steady state analysis, only dynamics slower than about one second are considered.  Faster, transient dynamics are not modeled because the energy associated with these transients is usually only a small fraction of the overall energy requirement.  </w:t>
      </w:r>
      <w:r w:rsidR="00BB7A60">
        <w:rPr>
          <w:rFonts w:ascii="Times New Roman" w:hAnsi="Times New Roman" w:cs="Times New Roman"/>
        </w:rPr>
        <w:t xml:space="preserve">A simple quasi-steady state analysis may only consider power flows as a function of time; voltages are assumed to be near the nominal system voltage.  Alternately the quasi-steady state analysis can perform a load flow analysis at each time increment to calculate both the power flow and the voltage magnitudes.  </w:t>
      </w:r>
    </w:p>
    <w:p w14:paraId="3EEA971C" w14:textId="28460D2D" w:rsidR="009B628B" w:rsidRDefault="00BB7A60" w:rsidP="00214F85">
      <w:pPr>
        <w:spacing w:before="240"/>
        <w:jc w:val="both"/>
        <w:rPr>
          <w:rFonts w:ascii="Times New Roman" w:hAnsi="Times New Roman" w:cs="Times New Roman"/>
        </w:rPr>
      </w:pPr>
      <w:r>
        <w:rPr>
          <w:rFonts w:ascii="Times New Roman" w:hAnsi="Times New Roman" w:cs="Times New Roman"/>
        </w:rPr>
        <w:t>To simplify analysis, any of the calculated interface values (such as voltages, current, or power) that depend on the state-of-charge</w:t>
      </w:r>
      <w:r w:rsidR="00870887">
        <w:rPr>
          <w:rFonts w:ascii="Times New Roman" w:hAnsi="Times New Roman" w:cs="Times New Roman"/>
        </w:rPr>
        <w:t xml:space="preserve"> (or any other state variable)</w:t>
      </w:r>
      <w:r>
        <w:rPr>
          <w:rFonts w:ascii="Times New Roman" w:hAnsi="Times New Roman" w:cs="Times New Roman"/>
        </w:rPr>
        <w:t xml:space="preserve">, use the state-of-charge </w:t>
      </w:r>
      <w:r w:rsidR="00870887">
        <w:rPr>
          <w:rFonts w:ascii="Times New Roman" w:hAnsi="Times New Roman" w:cs="Times New Roman"/>
        </w:rPr>
        <w:t xml:space="preserve">(state variable) </w:t>
      </w:r>
      <w:r>
        <w:rPr>
          <w:rFonts w:ascii="Times New Roman" w:hAnsi="Times New Roman" w:cs="Times New Roman"/>
        </w:rPr>
        <w:t xml:space="preserve">at the beginning of a time increment.  The state of charge </w:t>
      </w:r>
      <w:r w:rsidR="00870887">
        <w:rPr>
          <w:rFonts w:ascii="Times New Roman" w:hAnsi="Times New Roman" w:cs="Times New Roman"/>
        </w:rPr>
        <w:t xml:space="preserve">(state variable) </w:t>
      </w:r>
      <w:r>
        <w:rPr>
          <w:rFonts w:ascii="Times New Roman" w:hAnsi="Times New Roman" w:cs="Times New Roman"/>
        </w:rPr>
        <w:t xml:space="preserve">at the end of a time increment </w:t>
      </w:r>
      <w:r w:rsidR="009B628B">
        <w:rPr>
          <w:rFonts w:ascii="Times New Roman" w:hAnsi="Times New Roman" w:cs="Times New Roman"/>
        </w:rPr>
        <w:t>may be</w:t>
      </w:r>
      <w:r>
        <w:rPr>
          <w:rFonts w:ascii="Times New Roman" w:hAnsi="Times New Roman" w:cs="Times New Roman"/>
        </w:rPr>
        <w:t xml:space="preserve"> calculated after a system solution is</w:t>
      </w:r>
      <w:r w:rsidR="009B628B">
        <w:rPr>
          <w:rFonts w:ascii="Times New Roman" w:hAnsi="Times New Roman" w:cs="Times New Roman"/>
        </w:rPr>
        <w:t xml:space="preserve"> iteratively</w:t>
      </w:r>
      <w:r>
        <w:rPr>
          <w:rFonts w:ascii="Times New Roman" w:hAnsi="Times New Roman" w:cs="Times New Roman"/>
        </w:rPr>
        <w:t xml:space="preserve"> obtained.</w:t>
      </w:r>
    </w:p>
    <w:p w14:paraId="66F1A15E" w14:textId="2B0A5835" w:rsidR="004E7FA2" w:rsidRDefault="004E7FA2" w:rsidP="00214F85">
      <w:pPr>
        <w:spacing w:before="240"/>
        <w:jc w:val="both"/>
        <w:rPr>
          <w:rFonts w:ascii="Times New Roman" w:hAnsi="Times New Roman" w:cs="Times New Roman"/>
        </w:rPr>
      </w:pPr>
      <w:r>
        <w:rPr>
          <w:rFonts w:ascii="Times New Roman" w:hAnsi="Times New Roman" w:cs="Times New Roman"/>
        </w:rPr>
        <w:t>The quasi-steady-state models of the energy storage systems should track the number of charge-discharge cycles the energy storage system has experienced since the start of the simulation.  This number can be compared to the rated number of charge-discharge cycles to determine an upper bound on the expected life of the energy storage system.</w:t>
      </w:r>
      <w:r w:rsidR="006C651A">
        <w:rPr>
          <w:rFonts w:ascii="Times New Roman" w:hAnsi="Times New Roman" w:cs="Times New Roman"/>
        </w:rPr>
        <w:t xml:space="preserve">  For batteries and supercapacitors, the model could include temperature to better understand the impact of the energy storage environment on expected life.</w:t>
      </w:r>
    </w:p>
    <w:p w14:paraId="46B18467" w14:textId="00894693" w:rsidR="00865C6C" w:rsidRDefault="00865C6C" w:rsidP="0080528C">
      <w:pPr>
        <w:pStyle w:val="ListParagraph"/>
        <w:keepNext/>
        <w:numPr>
          <w:ilvl w:val="0"/>
          <w:numId w:val="1"/>
        </w:numPr>
        <w:spacing w:before="240"/>
        <w:contextualSpacing w:val="0"/>
        <w:rPr>
          <w:rFonts w:ascii="Times New Roman" w:hAnsi="Times New Roman" w:cs="Times New Roman"/>
        </w:rPr>
      </w:pPr>
      <w:r>
        <w:rPr>
          <w:rFonts w:ascii="Times New Roman" w:hAnsi="Times New Roman" w:cs="Times New Roman"/>
        </w:rPr>
        <w:t>Energy Storage analysis</w:t>
      </w:r>
    </w:p>
    <w:p w14:paraId="1C842BFC" w14:textId="36188D39" w:rsidR="00865C6C" w:rsidRDefault="00A8702A" w:rsidP="00865C6C">
      <w:pPr>
        <w:pStyle w:val="ListParagraph"/>
        <w:keepNext/>
        <w:numPr>
          <w:ilvl w:val="1"/>
          <w:numId w:val="1"/>
        </w:numPr>
        <w:spacing w:before="240"/>
        <w:contextualSpacing w:val="0"/>
        <w:rPr>
          <w:rFonts w:ascii="Times New Roman" w:hAnsi="Times New Roman" w:cs="Times New Roman"/>
        </w:rPr>
      </w:pPr>
      <w:r w:rsidRPr="00A8702A">
        <w:rPr>
          <w:rFonts w:ascii="Times New Roman" w:hAnsi="Times New Roman" w:cs="Times New Roman"/>
        </w:rPr>
        <w:t>UPS vs fast circuit breaker studies (ESM-F1)</w:t>
      </w:r>
    </w:p>
    <w:p w14:paraId="1C4056E6" w14:textId="28F188A3" w:rsidR="002D7694" w:rsidRDefault="002D7694" w:rsidP="002D7694">
      <w:pPr>
        <w:spacing w:before="240"/>
        <w:ind w:left="360"/>
        <w:jc w:val="both"/>
        <w:rPr>
          <w:rFonts w:ascii="Times New Roman" w:hAnsi="Times New Roman" w:cs="Times New Roman"/>
        </w:rPr>
      </w:pPr>
      <w:r>
        <w:rPr>
          <w:rFonts w:ascii="Times New Roman" w:hAnsi="Times New Roman" w:cs="Times New Roman"/>
        </w:rPr>
        <w:t>One design trade-off that may be considered is employing fast circuit breakers to minimize the number and rating of uninterruptible power supplies (UPS).  If circuit breakers can isolate a fault very quickly, say in under 5 ms, then few if any loads would suffer a service interruption due to a short duration power disruption from fault isolation.  The cost of circuit breakers that can achieve a fault clearing time of 5 ms cost more than circuit breakers with a longer clearing time.  The cost differential of the circuit breakers should be compared to the cost of the UPS needed to prevent a service interruption.</w:t>
      </w:r>
    </w:p>
    <w:p w14:paraId="16F672CF" w14:textId="1E9CAD37" w:rsidR="00345C0A" w:rsidRPr="002D7694" w:rsidRDefault="00345C0A" w:rsidP="002D7694">
      <w:pPr>
        <w:spacing w:before="240"/>
        <w:ind w:left="360"/>
        <w:jc w:val="both"/>
        <w:rPr>
          <w:rFonts w:ascii="Times New Roman" w:hAnsi="Times New Roman" w:cs="Times New Roman"/>
        </w:rPr>
      </w:pPr>
      <w:r>
        <w:rPr>
          <w:rFonts w:ascii="Times New Roman" w:hAnsi="Times New Roman" w:cs="Times New Roman"/>
        </w:rPr>
        <w:t>The study consists of identifying the speed (t1) that different approaches to fault detection, localization and isolation can achieve and comparing this time to the duration of a power disruption that loads can tolerate.  If the loads can tolerate longer disruptions, then no further design effort is needed.  If certain loads cannot tolerate the disruptions, then UPSs should be considered to isolate the load from the power disruption.</w:t>
      </w:r>
    </w:p>
    <w:p w14:paraId="48ACBDCE" w14:textId="4731B7BC" w:rsidR="00A8702A" w:rsidRDefault="00A8702A" w:rsidP="00865C6C">
      <w:pPr>
        <w:pStyle w:val="ListParagraph"/>
        <w:keepNext/>
        <w:numPr>
          <w:ilvl w:val="1"/>
          <w:numId w:val="1"/>
        </w:numPr>
        <w:spacing w:before="240"/>
        <w:contextualSpacing w:val="0"/>
        <w:rPr>
          <w:rFonts w:ascii="Times New Roman" w:hAnsi="Times New Roman" w:cs="Times New Roman"/>
        </w:rPr>
      </w:pPr>
      <w:r w:rsidRPr="00A8702A">
        <w:rPr>
          <w:rFonts w:ascii="Times New Roman" w:hAnsi="Times New Roman" w:cs="Times New Roman"/>
        </w:rPr>
        <w:lastRenderedPageBreak/>
        <w:t xml:space="preserve">Standby generator </w:t>
      </w:r>
      <w:proofErr w:type="gramStart"/>
      <w:r w:rsidRPr="00A8702A">
        <w:rPr>
          <w:rFonts w:ascii="Times New Roman" w:hAnsi="Times New Roman" w:cs="Times New Roman"/>
        </w:rPr>
        <w:t>start</w:t>
      </w:r>
      <w:proofErr w:type="gramEnd"/>
      <w:r w:rsidRPr="00A8702A">
        <w:rPr>
          <w:rFonts w:ascii="Times New Roman" w:hAnsi="Times New Roman" w:cs="Times New Roman"/>
        </w:rPr>
        <w:t xml:space="preserve"> simulation (ESM-F2)</w:t>
      </w:r>
    </w:p>
    <w:p w14:paraId="497033CB" w14:textId="6B43CB2A" w:rsidR="00B61F39" w:rsidRDefault="00B61F39" w:rsidP="00B61F39">
      <w:pPr>
        <w:spacing w:before="240"/>
        <w:ind w:left="360"/>
        <w:jc w:val="both"/>
        <w:rPr>
          <w:rFonts w:ascii="Times New Roman" w:hAnsi="Times New Roman" w:cs="Times New Roman"/>
        </w:rPr>
      </w:pPr>
      <w:r w:rsidRPr="00B61F39">
        <w:rPr>
          <w:rFonts w:ascii="Times New Roman" w:hAnsi="Times New Roman" w:cs="Times New Roman"/>
        </w:rPr>
        <w:t xml:space="preserve">This scenario assumes that initially there are at least two generator sets online.  At some point, one of the </w:t>
      </w:r>
      <w:proofErr w:type="gramStart"/>
      <w:r w:rsidRPr="00B61F39">
        <w:rPr>
          <w:rFonts w:ascii="Times New Roman" w:hAnsi="Times New Roman" w:cs="Times New Roman"/>
        </w:rPr>
        <w:t>generator</w:t>
      </w:r>
      <w:proofErr w:type="gramEnd"/>
      <w:r w:rsidRPr="00B61F39">
        <w:rPr>
          <w:rFonts w:ascii="Times New Roman" w:hAnsi="Times New Roman" w:cs="Times New Roman"/>
        </w:rPr>
        <w:t xml:space="preserve"> sets trips offline and the remaining online generator sets do not have sufficient capacity to serve all the loads.  Typically, the study employs quasi-steady state simulation to evaluate the system response.  </w:t>
      </w:r>
      <w:r w:rsidR="00D31E46">
        <w:rPr>
          <w:rFonts w:ascii="Times New Roman" w:hAnsi="Times New Roman" w:cs="Times New Roman"/>
        </w:rPr>
        <w:t xml:space="preserve">The simulation should model load shedding; the control algorithms intended to implement the load shedding should be modeled. </w:t>
      </w:r>
      <w:r w:rsidRPr="00B61F39">
        <w:rPr>
          <w:rFonts w:ascii="Times New Roman" w:hAnsi="Times New Roman" w:cs="Times New Roman"/>
        </w:rPr>
        <w:t xml:space="preserve"> The energy storage is evaluated to determine if its power and energy capacity ratings are sufficient. </w:t>
      </w:r>
    </w:p>
    <w:p w14:paraId="50F415DA" w14:textId="329F45EE" w:rsidR="00B61F39" w:rsidRDefault="00B61F39" w:rsidP="00B61F39">
      <w:pPr>
        <w:spacing w:before="240"/>
        <w:ind w:left="360"/>
        <w:jc w:val="both"/>
        <w:rPr>
          <w:rFonts w:ascii="Times New Roman" w:hAnsi="Times New Roman" w:cs="Times New Roman"/>
        </w:rPr>
      </w:pPr>
      <w:r w:rsidRPr="00B61F39">
        <w:rPr>
          <w:rFonts w:ascii="Times New Roman" w:hAnsi="Times New Roman" w:cs="Times New Roman"/>
        </w:rPr>
        <w:t xml:space="preserve">Some electrical power is required to start the standby generator. </w:t>
      </w:r>
      <w:r>
        <w:rPr>
          <w:rFonts w:ascii="Times New Roman" w:hAnsi="Times New Roman" w:cs="Times New Roman"/>
        </w:rPr>
        <w:t xml:space="preserve"> Under this scenario, energy storage could be dedicated to starting the standby generator, similar to an emergency diesel generator set.  Sufficient energy and power should be provided for six consecutive starts.  If the same energy storage system is used for both ship service loads and standby generator starting, then the control system should allocate sufficient energy storage capacity to provide six consecutive starts; this allocated energy storage should not be used for ship service loads.</w:t>
      </w:r>
    </w:p>
    <w:p w14:paraId="5A825349" w14:textId="3DE39014" w:rsidR="00B61F39" w:rsidRPr="00B61F39" w:rsidRDefault="00D31E46" w:rsidP="00B61F39">
      <w:pPr>
        <w:spacing w:before="240"/>
        <w:ind w:left="360"/>
        <w:rPr>
          <w:rFonts w:ascii="Times New Roman" w:hAnsi="Times New Roman" w:cs="Times New Roman"/>
        </w:rPr>
      </w:pPr>
      <w:r>
        <w:rPr>
          <w:rFonts w:ascii="Times New Roman" w:hAnsi="Times New Roman" w:cs="Times New Roman"/>
        </w:rPr>
        <w:t>The simulation should include modeling the recharging of the energy storage o</w:t>
      </w:r>
      <w:r w:rsidR="00B61F39" w:rsidRPr="00B61F39">
        <w:rPr>
          <w:rFonts w:ascii="Times New Roman" w:hAnsi="Times New Roman" w:cs="Times New Roman"/>
        </w:rPr>
        <w:t>nce the standby generator is online.</w:t>
      </w:r>
    </w:p>
    <w:p w14:paraId="0D1702CB" w14:textId="52CB1B3D" w:rsidR="00345C0A" w:rsidRDefault="00B61F39" w:rsidP="00B61F39">
      <w:pPr>
        <w:spacing w:before="240"/>
        <w:ind w:left="360"/>
        <w:jc w:val="both"/>
        <w:rPr>
          <w:rFonts w:ascii="Times New Roman" w:hAnsi="Times New Roman" w:cs="Times New Roman"/>
        </w:rPr>
      </w:pPr>
      <w:r w:rsidRPr="00B61F39">
        <w:rPr>
          <w:rFonts w:ascii="Times New Roman" w:hAnsi="Times New Roman" w:cs="Times New Roman"/>
        </w:rPr>
        <w:t>Within this study one can trade-off centralized and decentralized energy storage.  If decentralized energy storage is already required for ESM-F1 functionality and this decentralized energy storage has enough capacity for ESM-F2 functionality, it makes sense to take advantage of this energy storage.  Any additional demand for energy storage could be fulfilled by either centralized or decentralized energy storage.</w:t>
      </w:r>
    </w:p>
    <w:p w14:paraId="7CE4142A" w14:textId="23EED384" w:rsidR="00B61F39" w:rsidRDefault="00B61F39" w:rsidP="00B61F39">
      <w:pPr>
        <w:spacing w:before="240"/>
        <w:ind w:left="360"/>
        <w:jc w:val="both"/>
        <w:rPr>
          <w:rFonts w:ascii="Times New Roman" w:hAnsi="Times New Roman" w:cs="Times New Roman"/>
        </w:rPr>
      </w:pPr>
      <w:r>
        <w:rPr>
          <w:rFonts w:ascii="Times New Roman" w:hAnsi="Times New Roman" w:cs="Times New Roman"/>
        </w:rPr>
        <w:t>If the quasi-steady-state simulation incorporates stochastic models, the model should be simulated many times to ensure sufficient capacity for both power and energy is provided by the energy storage system.</w:t>
      </w:r>
    </w:p>
    <w:p w14:paraId="7E80A3F4" w14:textId="5ED2245B" w:rsidR="00541AEB" w:rsidRPr="00345C0A" w:rsidRDefault="00541AEB" w:rsidP="00B61F39">
      <w:pPr>
        <w:spacing w:before="240"/>
        <w:ind w:left="360"/>
        <w:jc w:val="both"/>
        <w:rPr>
          <w:rFonts w:ascii="Times New Roman" w:hAnsi="Times New Roman" w:cs="Times New Roman"/>
        </w:rPr>
      </w:pPr>
      <w:r>
        <w:rPr>
          <w:rFonts w:ascii="Times New Roman" w:hAnsi="Times New Roman" w:cs="Times New Roman"/>
        </w:rPr>
        <w:t xml:space="preserve">These quasi-steady simulations differ from load analysis for 24-hour average or power system equipment sizing in that the in the latter cases, a single operating condition is modeled; time-based variation is typically due to cycling loads.  For this analysis, the system is in transition from an initial operating point following the loss of an online generator set to a </w:t>
      </w:r>
      <w:r w:rsidR="00870887">
        <w:rPr>
          <w:rFonts w:ascii="Times New Roman" w:hAnsi="Times New Roman" w:cs="Times New Roman"/>
        </w:rPr>
        <w:t>long-term</w:t>
      </w:r>
      <w:r>
        <w:rPr>
          <w:rFonts w:ascii="Times New Roman" w:hAnsi="Times New Roman" w:cs="Times New Roman"/>
        </w:rPr>
        <w:t xml:space="preserve"> stable operation with a standby generator set online that restores generation capacity.</w:t>
      </w:r>
    </w:p>
    <w:p w14:paraId="52DB8372" w14:textId="1D4C243D" w:rsidR="00865C6C" w:rsidRDefault="00A8702A" w:rsidP="00865C6C">
      <w:pPr>
        <w:pStyle w:val="ListParagraph"/>
        <w:keepNext/>
        <w:numPr>
          <w:ilvl w:val="1"/>
          <w:numId w:val="1"/>
        </w:numPr>
        <w:spacing w:before="240"/>
        <w:contextualSpacing w:val="0"/>
        <w:rPr>
          <w:rFonts w:ascii="Times New Roman" w:hAnsi="Times New Roman" w:cs="Times New Roman"/>
        </w:rPr>
      </w:pPr>
      <w:r w:rsidRPr="00A8702A">
        <w:rPr>
          <w:rFonts w:ascii="Times New Roman" w:hAnsi="Times New Roman" w:cs="Times New Roman"/>
        </w:rPr>
        <w:t>Reserve power studies (ESM-F2)</w:t>
      </w:r>
    </w:p>
    <w:p w14:paraId="408C3294" w14:textId="6624BBE4" w:rsidR="006B711B" w:rsidRDefault="006B711B" w:rsidP="006B711B">
      <w:pPr>
        <w:spacing w:before="240"/>
        <w:ind w:left="360"/>
        <w:jc w:val="both"/>
        <w:rPr>
          <w:rFonts w:ascii="Times New Roman" w:hAnsi="Times New Roman" w:cs="Times New Roman"/>
        </w:rPr>
      </w:pPr>
      <w:r w:rsidRPr="006B711B">
        <w:rPr>
          <w:rFonts w:ascii="Times New Roman" w:hAnsi="Times New Roman" w:cs="Times New Roman"/>
        </w:rPr>
        <w:t xml:space="preserve">Reserve power is online generation capacity (power) that is available but not being used. Reserve power includes energy storage designated for ESM-F2 functionality. Reserve power studies typically examine the following scenario: The total load increases significantly to a level beyond the rating of online generator sets. Energy storage provides power until one or </w:t>
      </w:r>
      <w:r w:rsidRPr="006B711B">
        <w:rPr>
          <w:rFonts w:ascii="Times New Roman" w:hAnsi="Times New Roman" w:cs="Times New Roman"/>
        </w:rPr>
        <w:lastRenderedPageBreak/>
        <w:t xml:space="preserve">more standby generators are brought online to service the new total load and charge the energy storage. </w:t>
      </w:r>
      <w:r>
        <w:rPr>
          <w:rFonts w:ascii="Times New Roman" w:hAnsi="Times New Roman" w:cs="Times New Roman"/>
        </w:rPr>
        <w:t xml:space="preserve"> </w:t>
      </w:r>
    </w:p>
    <w:p w14:paraId="4F508F68" w14:textId="39952962" w:rsidR="006B711B" w:rsidRDefault="006B711B" w:rsidP="006B711B">
      <w:pPr>
        <w:spacing w:before="240"/>
        <w:ind w:left="360"/>
        <w:jc w:val="both"/>
        <w:rPr>
          <w:rFonts w:ascii="Times New Roman" w:hAnsi="Times New Roman" w:cs="Times New Roman"/>
        </w:rPr>
      </w:pPr>
      <w:r>
        <w:rPr>
          <w:rFonts w:ascii="Times New Roman" w:hAnsi="Times New Roman" w:cs="Times New Roman"/>
        </w:rPr>
        <w:t>The system response may include load shedding of lower priority loads.  If this is the case, the load shedding algorithms and hardware should be modeled.</w:t>
      </w:r>
    </w:p>
    <w:p w14:paraId="52301729" w14:textId="1B4E8150" w:rsidR="006B711B" w:rsidRPr="006B711B" w:rsidRDefault="006B711B" w:rsidP="006B711B">
      <w:pPr>
        <w:spacing w:before="240"/>
        <w:ind w:left="360"/>
        <w:jc w:val="both"/>
        <w:rPr>
          <w:rFonts w:ascii="Times New Roman" w:hAnsi="Times New Roman" w:cs="Times New Roman"/>
        </w:rPr>
      </w:pPr>
      <w:r w:rsidRPr="006B711B">
        <w:rPr>
          <w:rFonts w:ascii="Times New Roman" w:hAnsi="Times New Roman" w:cs="Times New Roman"/>
        </w:rPr>
        <w:t>A quasi-steady state analysis is used to evaluate the adequacy of the energy storage power and energy capacity.</w:t>
      </w:r>
      <w:r>
        <w:rPr>
          <w:rFonts w:ascii="Times New Roman" w:hAnsi="Times New Roman" w:cs="Times New Roman"/>
        </w:rPr>
        <w:t xml:space="preserve">  The modeling techniques are essentially the same as for the previous s</w:t>
      </w:r>
      <w:r w:rsidRPr="00A8702A">
        <w:rPr>
          <w:rFonts w:ascii="Times New Roman" w:hAnsi="Times New Roman" w:cs="Times New Roman"/>
        </w:rPr>
        <w:t>tandby generator start simulation</w:t>
      </w:r>
      <w:r>
        <w:rPr>
          <w:rFonts w:ascii="Times New Roman" w:hAnsi="Times New Roman" w:cs="Times New Roman"/>
        </w:rPr>
        <w:t>.</w:t>
      </w:r>
      <w:r w:rsidR="00541AEB">
        <w:rPr>
          <w:rFonts w:ascii="Times New Roman" w:hAnsi="Times New Roman" w:cs="Times New Roman"/>
        </w:rPr>
        <w:t xml:space="preserve">  Once again, the simulation is modeling a transition from an initial condition where there is insufficient online generation to the condition where the standby generator is brought online to restore sufficient generation capacity.</w:t>
      </w:r>
    </w:p>
    <w:p w14:paraId="50EECD52" w14:textId="21444A8D" w:rsidR="00865C6C" w:rsidRDefault="00A8702A" w:rsidP="00865C6C">
      <w:pPr>
        <w:pStyle w:val="ListParagraph"/>
        <w:keepNext/>
        <w:numPr>
          <w:ilvl w:val="1"/>
          <w:numId w:val="1"/>
        </w:numPr>
        <w:spacing w:before="240"/>
        <w:contextualSpacing w:val="0"/>
        <w:rPr>
          <w:rFonts w:ascii="Times New Roman" w:hAnsi="Times New Roman" w:cs="Times New Roman"/>
        </w:rPr>
      </w:pPr>
      <w:r w:rsidRPr="00A8702A">
        <w:rPr>
          <w:rFonts w:ascii="Times New Roman" w:hAnsi="Times New Roman" w:cs="Times New Roman"/>
        </w:rPr>
        <w:t xml:space="preserve">Dark ship </w:t>
      </w:r>
      <w:proofErr w:type="gramStart"/>
      <w:r w:rsidRPr="00A8702A">
        <w:rPr>
          <w:rFonts w:ascii="Times New Roman" w:hAnsi="Times New Roman" w:cs="Times New Roman"/>
        </w:rPr>
        <w:t>start</w:t>
      </w:r>
      <w:proofErr w:type="gramEnd"/>
      <w:r w:rsidRPr="00A8702A">
        <w:rPr>
          <w:rFonts w:ascii="Times New Roman" w:hAnsi="Times New Roman" w:cs="Times New Roman"/>
        </w:rPr>
        <w:t xml:space="preserve"> simulation (ESM-F2 and ESM-F3)</w:t>
      </w:r>
    </w:p>
    <w:p w14:paraId="6AB1ACE6" w14:textId="77777777" w:rsidR="000D364E" w:rsidRDefault="009C472B" w:rsidP="009C472B">
      <w:pPr>
        <w:pStyle w:val="ListParagraph"/>
        <w:spacing w:before="240"/>
        <w:ind w:left="360"/>
        <w:contextualSpacing w:val="0"/>
        <w:jc w:val="both"/>
        <w:rPr>
          <w:rFonts w:ascii="Times New Roman" w:hAnsi="Times New Roman" w:cs="Times New Roman"/>
        </w:rPr>
      </w:pPr>
      <w:r w:rsidRPr="009C472B">
        <w:rPr>
          <w:rFonts w:ascii="Times New Roman" w:hAnsi="Times New Roman" w:cs="Times New Roman"/>
        </w:rPr>
        <w:t xml:space="preserve">A dark ship occurs when all online generator sets trip offline, but energy storage is available. This may occur for example, if a single generator set is operating with energy storage providing reserve power. It could also happen if two generator sets are initially online, but both trip offline nearly simultaneously. </w:t>
      </w:r>
    </w:p>
    <w:p w14:paraId="1A846270" w14:textId="0764E8BF" w:rsidR="009C472B" w:rsidRDefault="009C472B" w:rsidP="009C472B">
      <w:pPr>
        <w:pStyle w:val="ListParagraph"/>
        <w:spacing w:before="240"/>
        <w:ind w:left="360"/>
        <w:contextualSpacing w:val="0"/>
        <w:jc w:val="both"/>
        <w:rPr>
          <w:rFonts w:ascii="Times New Roman" w:hAnsi="Times New Roman" w:cs="Times New Roman"/>
        </w:rPr>
      </w:pPr>
      <w:r w:rsidRPr="009C472B">
        <w:rPr>
          <w:rFonts w:ascii="Times New Roman" w:hAnsi="Times New Roman" w:cs="Times New Roman"/>
        </w:rPr>
        <w:t>A quasi-steady state simulation is used to evaluate the adequacy of the energy storage power and energy capacity. Generally, the system responds by shedding load, starting the</w:t>
      </w:r>
      <w:r>
        <w:rPr>
          <w:rFonts w:ascii="Times New Roman" w:hAnsi="Times New Roman" w:cs="Times New Roman"/>
        </w:rPr>
        <w:t xml:space="preserve"> emergency generator set and the</w:t>
      </w:r>
      <w:r w:rsidRPr="009C472B">
        <w:rPr>
          <w:rFonts w:ascii="Times New Roman" w:hAnsi="Times New Roman" w:cs="Times New Roman"/>
        </w:rPr>
        <w:t xml:space="preserve"> standby generator sets, and using energy storage to supply power to remaining loads. Once the standby generator sets are online, the energy storage switches from discharging to charging. The simulation evaluates whether the proper loads have been shed (not shed) and that the correct loads to enable the standby generator sets to start and operate are provided power.</w:t>
      </w:r>
      <w:r w:rsidR="000D364E">
        <w:rPr>
          <w:rFonts w:ascii="Times New Roman" w:hAnsi="Times New Roman" w:cs="Times New Roman"/>
        </w:rPr>
        <w:t xml:space="preserve">  The simulation is modeling a transition from an initial condition where there is no generation online, to the condition where the emergency and standby generator(s) are brought online to restore sufficient generation capacity</w:t>
      </w:r>
    </w:p>
    <w:p w14:paraId="5B04143F" w14:textId="21FBD2E6" w:rsidR="009C472B" w:rsidRDefault="009C472B" w:rsidP="009C472B">
      <w:pPr>
        <w:pStyle w:val="ListParagraph"/>
        <w:spacing w:before="240"/>
        <w:ind w:left="360"/>
        <w:contextualSpacing w:val="0"/>
        <w:jc w:val="both"/>
        <w:rPr>
          <w:rFonts w:ascii="Times New Roman" w:hAnsi="Times New Roman" w:cs="Times New Roman"/>
        </w:rPr>
      </w:pPr>
      <w:r>
        <w:rPr>
          <w:rFonts w:ascii="Times New Roman" w:hAnsi="Times New Roman" w:cs="Times New Roman"/>
        </w:rPr>
        <w:t>Some or all of the energy storage may comprise a temporary emergency power source in accordance with 46 CFR 112.15.  A temporary emergency power source is required for passenger vessels in service on the ocean, Great Lakes, or coastwise; or on an international voyage.</w:t>
      </w:r>
    </w:p>
    <w:p w14:paraId="7F4702AD" w14:textId="0A95C0DC" w:rsidR="00865C6C" w:rsidRDefault="00A8702A" w:rsidP="00865C6C">
      <w:pPr>
        <w:pStyle w:val="ListParagraph"/>
        <w:keepNext/>
        <w:numPr>
          <w:ilvl w:val="1"/>
          <w:numId w:val="1"/>
        </w:numPr>
        <w:spacing w:before="240"/>
        <w:contextualSpacing w:val="0"/>
        <w:rPr>
          <w:rFonts w:ascii="Times New Roman" w:hAnsi="Times New Roman" w:cs="Times New Roman"/>
        </w:rPr>
      </w:pPr>
      <w:r w:rsidRPr="00A8702A">
        <w:rPr>
          <w:rFonts w:ascii="Times New Roman" w:hAnsi="Times New Roman" w:cs="Times New Roman"/>
        </w:rPr>
        <w:t>Load-leveling study (ESM-F4)</w:t>
      </w:r>
    </w:p>
    <w:p w14:paraId="35832364" w14:textId="77777777" w:rsidR="006C651A" w:rsidRDefault="006C651A" w:rsidP="006C651A">
      <w:pPr>
        <w:spacing w:before="240"/>
        <w:ind w:left="360"/>
        <w:jc w:val="both"/>
        <w:rPr>
          <w:rFonts w:ascii="Times New Roman" w:hAnsi="Times New Roman" w:cs="Times New Roman"/>
        </w:rPr>
      </w:pPr>
      <w:r w:rsidRPr="006C651A">
        <w:rPr>
          <w:rFonts w:ascii="Times New Roman" w:hAnsi="Times New Roman" w:cs="Times New Roman"/>
        </w:rPr>
        <w:t xml:space="preserve">A load-leveling study is used to examine several scenarios where load-leveling may be used. These scenarios include: </w:t>
      </w:r>
    </w:p>
    <w:p w14:paraId="04ADDFBB" w14:textId="4F403FF9" w:rsidR="006C651A" w:rsidRDefault="006C651A" w:rsidP="006C651A">
      <w:pPr>
        <w:spacing w:before="240"/>
        <w:ind w:left="360"/>
        <w:jc w:val="both"/>
        <w:rPr>
          <w:rFonts w:ascii="Times New Roman" w:hAnsi="Times New Roman" w:cs="Times New Roman"/>
        </w:rPr>
      </w:pPr>
      <w:r w:rsidRPr="006C651A">
        <w:rPr>
          <w:rFonts w:ascii="Times New Roman" w:hAnsi="Times New Roman" w:cs="Times New Roman"/>
        </w:rPr>
        <w:t xml:space="preserve">a. Enabling sources (such as fuel cells) that are not capable of fast enough dynamic response to achieve power quality requirements by themselves. Energy storage essentially serves as a low pass filter by supplying and receiving the high frequency content of the power, thereby </w:t>
      </w:r>
      <w:r w:rsidRPr="006C651A">
        <w:rPr>
          <w:rFonts w:ascii="Times New Roman" w:hAnsi="Times New Roman" w:cs="Times New Roman"/>
        </w:rPr>
        <w:lastRenderedPageBreak/>
        <w:t xml:space="preserve">enabling the source to only provide the low frequency content. </w:t>
      </w:r>
      <w:r>
        <w:rPr>
          <w:rFonts w:ascii="Times New Roman" w:hAnsi="Times New Roman" w:cs="Times New Roman"/>
        </w:rPr>
        <w:t xml:space="preserve"> The power rating of the energy storage system (both charging and discharging) should be greater than the largest step load change </w:t>
      </w:r>
      <w:r w:rsidR="00FD664B">
        <w:rPr>
          <w:rFonts w:ascii="Times New Roman" w:hAnsi="Times New Roman" w:cs="Times New Roman"/>
        </w:rPr>
        <w:t>or near-step load change that power system experiences.  A near step load change is one that occurs faster than</w:t>
      </w:r>
      <w:r w:rsidR="000D364E">
        <w:rPr>
          <w:rFonts w:ascii="Times New Roman" w:hAnsi="Times New Roman" w:cs="Times New Roman"/>
        </w:rPr>
        <w:t xml:space="preserve"> the</w:t>
      </w:r>
      <w:r w:rsidR="00FD664B">
        <w:rPr>
          <w:rFonts w:ascii="Times New Roman" w:hAnsi="Times New Roman" w:cs="Times New Roman"/>
        </w:rPr>
        <w:t xml:space="preserve"> time constant of the source.  The long-term average of the SOC for the ESS should be midway between the minimum and maximum operating SOC.  The quasi-steady state (or full transient) analysis of the power system should provide the necessary energy rating of the energy storage system so that the SOC is very unlikely to be outside of the minimum and maximum operational SOC.</w:t>
      </w:r>
      <w:r w:rsidR="000D364E">
        <w:rPr>
          <w:rFonts w:ascii="Times New Roman" w:hAnsi="Times New Roman" w:cs="Times New Roman"/>
        </w:rPr>
        <w:t xml:space="preserve">  Similar to load analysis for sizing power system equipment, this analysis concentrates on a single operational condition; variations in load are largely due to cycling loads.</w:t>
      </w:r>
    </w:p>
    <w:p w14:paraId="71F1D4DF" w14:textId="5B511C4E" w:rsidR="006C651A" w:rsidRDefault="006C651A" w:rsidP="006C651A">
      <w:pPr>
        <w:spacing w:before="240"/>
        <w:ind w:left="360"/>
        <w:jc w:val="both"/>
        <w:rPr>
          <w:rFonts w:ascii="Times New Roman" w:hAnsi="Times New Roman" w:cs="Times New Roman"/>
        </w:rPr>
      </w:pPr>
      <w:r w:rsidRPr="006C651A">
        <w:rPr>
          <w:rFonts w:ascii="Times New Roman" w:hAnsi="Times New Roman" w:cs="Times New Roman"/>
        </w:rPr>
        <w:t xml:space="preserve">b. Enabling sources to operate near </w:t>
      </w:r>
      <w:r w:rsidR="00FD664B" w:rsidRPr="006C651A">
        <w:rPr>
          <w:rFonts w:ascii="Times New Roman" w:hAnsi="Times New Roman" w:cs="Times New Roman"/>
        </w:rPr>
        <w:t>their</w:t>
      </w:r>
      <w:r w:rsidRPr="006C651A">
        <w:rPr>
          <w:rFonts w:ascii="Times New Roman" w:hAnsi="Times New Roman" w:cs="Times New Roman"/>
        </w:rPr>
        <w:t xml:space="preserve"> power rating by providing power when the load temporarily exceeds the power rating</w:t>
      </w:r>
      <w:r w:rsidR="005F6CEF">
        <w:rPr>
          <w:rFonts w:ascii="Times New Roman" w:hAnsi="Times New Roman" w:cs="Times New Roman"/>
        </w:rPr>
        <w:t xml:space="preserve"> of the sources</w:t>
      </w:r>
      <w:r w:rsidRPr="006C651A">
        <w:rPr>
          <w:rFonts w:ascii="Times New Roman" w:hAnsi="Times New Roman" w:cs="Times New Roman"/>
        </w:rPr>
        <w:t xml:space="preserve">. The sources provide the average power up to their rating while the energy storage provides (either sources or sinks) the momentary deviations from that average power. </w:t>
      </w:r>
      <w:r w:rsidR="005F6CEF">
        <w:rPr>
          <w:rFonts w:ascii="Times New Roman" w:hAnsi="Times New Roman" w:cs="Times New Roman"/>
        </w:rPr>
        <w:t xml:space="preserve"> Quasi-steady state simulation is used to determine the magnitude of the power excursion above the mean value as well as the maximum energy provided or received.  If the average load exceeds the source rating, additional sources should be brought online.  The maximum energy provided by the energy storage system should include the energy provided while the additional generator set is brought online.   </w:t>
      </w:r>
    </w:p>
    <w:p w14:paraId="3D5FC143" w14:textId="1D6CCC99" w:rsidR="006C651A" w:rsidRPr="006C651A" w:rsidRDefault="006C651A" w:rsidP="006C651A">
      <w:pPr>
        <w:spacing w:before="240"/>
        <w:ind w:left="360"/>
        <w:jc w:val="both"/>
        <w:rPr>
          <w:rFonts w:ascii="Times New Roman" w:hAnsi="Times New Roman" w:cs="Times New Roman"/>
        </w:rPr>
      </w:pPr>
      <w:r w:rsidRPr="006C651A">
        <w:rPr>
          <w:rFonts w:ascii="Times New Roman" w:hAnsi="Times New Roman" w:cs="Times New Roman"/>
        </w:rPr>
        <w:t>c. Compensating for pulsed loads by providing (either sourcing or sinking) the deviations around the average power for the pulsed load. Depending on the details of the scenario, these studies may employ either quasi-steady state analysis or a full transient analysis.</w:t>
      </w:r>
    </w:p>
    <w:p w14:paraId="585B8591" w14:textId="61C0DD3A" w:rsidR="00A8702A" w:rsidRDefault="00A8702A" w:rsidP="00865C6C">
      <w:pPr>
        <w:pStyle w:val="ListParagraph"/>
        <w:keepNext/>
        <w:numPr>
          <w:ilvl w:val="1"/>
          <w:numId w:val="1"/>
        </w:numPr>
        <w:spacing w:before="240"/>
        <w:contextualSpacing w:val="0"/>
        <w:rPr>
          <w:rFonts w:ascii="Times New Roman" w:hAnsi="Times New Roman" w:cs="Times New Roman"/>
        </w:rPr>
      </w:pPr>
      <w:r w:rsidRPr="00A8702A">
        <w:rPr>
          <w:rFonts w:ascii="Times New Roman" w:hAnsi="Times New Roman" w:cs="Times New Roman"/>
        </w:rPr>
        <w:t>Zonal and compartment survivability analysis</w:t>
      </w:r>
      <w:r>
        <w:rPr>
          <w:rFonts w:ascii="Times New Roman" w:hAnsi="Times New Roman" w:cs="Times New Roman"/>
        </w:rPr>
        <w:t xml:space="preserve"> (ESM F-5)</w:t>
      </w:r>
    </w:p>
    <w:p w14:paraId="758819DE" w14:textId="463B5ECF" w:rsidR="003D29A7" w:rsidRDefault="003D29A7" w:rsidP="003D29A7">
      <w:pPr>
        <w:spacing w:before="240"/>
        <w:ind w:left="360"/>
        <w:jc w:val="both"/>
        <w:rPr>
          <w:rFonts w:ascii="Times New Roman" w:hAnsi="Times New Roman" w:cs="Times New Roman"/>
        </w:rPr>
      </w:pPr>
      <w:r w:rsidRPr="003D29A7">
        <w:rPr>
          <w:rFonts w:ascii="Times New Roman" w:hAnsi="Times New Roman" w:cs="Times New Roman"/>
        </w:rPr>
        <w:t>Zonal survivability analysis evaluates whether there is sufficient power generation, energy storage and connectivity in each zone to enable zonal survivability. In zonal survivability analysis, each zone and pair of adjacent zones is examined separately. One assumes the zone(s) are damaged and evaluates whether there is sufficient generation and connectivity in the undamaged zones to power all surviving mission critical equipment. If the architecture incorporates multiple cross-zone busses (typically port and starboard) that are sufficiently separated and protected such that the likelihood of both busses being inoperative is low, then one normally assumes one of the two busses will be operable following damage. Energy storage may be employed to provide power to an otherwise underpowered zone if it has</w:t>
      </w:r>
      <w:r>
        <w:rPr>
          <w:rFonts w:ascii="Times New Roman" w:hAnsi="Times New Roman" w:cs="Times New Roman"/>
        </w:rPr>
        <w:t xml:space="preserve"> </w:t>
      </w:r>
      <w:r w:rsidRPr="003D29A7">
        <w:rPr>
          <w:rFonts w:ascii="Times New Roman" w:hAnsi="Times New Roman" w:cs="Times New Roman"/>
        </w:rPr>
        <w:t xml:space="preserve">sufficient connectivity and energy capacity. The energy capacity should be sufficient to last until an alternate means (such as casualty power) is employed to provide sufficient </w:t>
      </w:r>
      <w:proofErr w:type="gramStart"/>
      <w:r w:rsidRPr="003D29A7">
        <w:rPr>
          <w:rFonts w:ascii="Times New Roman" w:hAnsi="Times New Roman" w:cs="Times New Roman"/>
        </w:rPr>
        <w:t>long term</w:t>
      </w:r>
      <w:proofErr w:type="gramEnd"/>
      <w:r w:rsidRPr="003D29A7">
        <w:rPr>
          <w:rFonts w:ascii="Times New Roman" w:hAnsi="Times New Roman" w:cs="Times New Roman"/>
        </w:rPr>
        <w:t xml:space="preserve"> power to the zone. </w:t>
      </w:r>
      <w:r w:rsidR="00C712F2">
        <w:rPr>
          <w:rFonts w:ascii="Times New Roman" w:hAnsi="Times New Roman" w:cs="Times New Roman"/>
        </w:rPr>
        <w:t>If restoring long term power to the zone is not practical, then one should consider using the requirement for an emergency power source detailed in 46 CFR 112.05-5.</w:t>
      </w:r>
    </w:p>
    <w:p w14:paraId="1A6D4CA9" w14:textId="3B5CE348" w:rsidR="000D364E" w:rsidRDefault="003D29A7" w:rsidP="003D29A7">
      <w:pPr>
        <w:spacing w:before="240"/>
        <w:ind w:left="360"/>
        <w:jc w:val="both"/>
        <w:rPr>
          <w:rFonts w:ascii="Times New Roman" w:hAnsi="Times New Roman" w:cs="Times New Roman"/>
        </w:rPr>
      </w:pPr>
      <w:r w:rsidRPr="003D29A7">
        <w:rPr>
          <w:rFonts w:ascii="Times New Roman" w:hAnsi="Times New Roman" w:cs="Times New Roman"/>
        </w:rPr>
        <w:lastRenderedPageBreak/>
        <w:t>Compartment survivability enables restoration of power to undamaged mission critical equipment within a damaged zone. This may be implemented with normal and alternate power feeds as well as the possible inclusion of casualty power. As with zonal survivability, if there is insufficient power capacity from generator sets in undamaged zones, then energy storage with the requisite energy capacity and power may be employed.</w:t>
      </w:r>
    </w:p>
    <w:p w14:paraId="1A62A80E" w14:textId="2C445F6A" w:rsidR="00C712F2" w:rsidRPr="000D364E" w:rsidRDefault="00C712F2" w:rsidP="003D29A7">
      <w:pPr>
        <w:spacing w:before="240"/>
        <w:ind w:left="360"/>
        <w:jc w:val="both"/>
        <w:rPr>
          <w:rFonts w:ascii="Times New Roman" w:hAnsi="Times New Roman" w:cs="Times New Roman"/>
        </w:rPr>
      </w:pPr>
      <w:r>
        <w:rPr>
          <w:rFonts w:ascii="Times New Roman" w:hAnsi="Times New Roman" w:cs="Times New Roman"/>
        </w:rPr>
        <w:t>Since the time period for providing power is typically for an extended period of time, load factor analysis (24-hour average), stochastic analysis, or modeling and simulation analysis may be employed to determine the required energy requirement.  Zonal load factor, stochastic analysis or modeling and simulation analysis should be considered for determining the energy storage system power requirement.</w:t>
      </w:r>
    </w:p>
    <w:p w14:paraId="1CE501A5" w14:textId="4B6AB836" w:rsidR="00865C6C" w:rsidRDefault="00A8702A" w:rsidP="00865C6C">
      <w:pPr>
        <w:pStyle w:val="ListParagraph"/>
        <w:keepNext/>
        <w:numPr>
          <w:ilvl w:val="1"/>
          <w:numId w:val="1"/>
        </w:numPr>
        <w:spacing w:before="240"/>
        <w:contextualSpacing w:val="0"/>
        <w:rPr>
          <w:rFonts w:ascii="Times New Roman" w:hAnsi="Times New Roman" w:cs="Times New Roman"/>
        </w:rPr>
      </w:pPr>
      <w:r w:rsidRPr="00A8702A">
        <w:rPr>
          <w:rFonts w:ascii="Times New Roman" w:hAnsi="Times New Roman" w:cs="Times New Roman"/>
        </w:rPr>
        <w:t xml:space="preserve">Endurance energy calculations </w:t>
      </w:r>
      <w:r>
        <w:rPr>
          <w:rFonts w:ascii="Times New Roman" w:hAnsi="Times New Roman" w:cs="Times New Roman"/>
        </w:rPr>
        <w:t>(</w:t>
      </w:r>
      <w:r w:rsidR="00865C6C">
        <w:rPr>
          <w:rFonts w:ascii="Times New Roman" w:hAnsi="Times New Roman" w:cs="Times New Roman"/>
        </w:rPr>
        <w:t>ESM F-5</w:t>
      </w:r>
      <w:r>
        <w:rPr>
          <w:rFonts w:ascii="Times New Roman" w:hAnsi="Times New Roman" w:cs="Times New Roman"/>
        </w:rPr>
        <w:t>)</w:t>
      </w:r>
    </w:p>
    <w:p w14:paraId="20E8359E" w14:textId="501582D7" w:rsidR="000D364E" w:rsidRDefault="00462214" w:rsidP="00462214">
      <w:pPr>
        <w:spacing w:before="240"/>
        <w:ind w:left="360"/>
        <w:jc w:val="both"/>
        <w:rPr>
          <w:rFonts w:ascii="Times New Roman" w:hAnsi="Times New Roman" w:cs="Times New Roman"/>
        </w:rPr>
      </w:pPr>
      <w:r w:rsidRPr="00462214">
        <w:rPr>
          <w:rFonts w:ascii="Times New Roman" w:hAnsi="Times New Roman" w:cs="Times New Roman"/>
        </w:rPr>
        <w:t>Endurance energy calculations are performed similar to endurance fuel calculations as defined in DPC 200-1. The economical transit distance and operational presence time are likely to be much smaller than for the fuel calculations. Instead of determining fuel rates and required fuel tank capacity, endurance energy calculations determine the power and energy capacity rating of energy storage. The useable capacity of the energy storage should be sufficient to meet the applicable endurance condition; the loads should include service life allowance and margins. The plant deterioration allowance should be consistent with the end-of-life loss in capacity (typically 1.25). Unless the energy storage is intended to be used in conjunction with generator sets, specific fuel consumption curves and tailpipe allowances are not applicable.</w:t>
      </w:r>
    </w:p>
    <w:p w14:paraId="6EBEE8DF" w14:textId="2789349A" w:rsidR="00462214" w:rsidRDefault="00462214" w:rsidP="00462214">
      <w:pPr>
        <w:spacing w:before="240"/>
        <w:ind w:left="360"/>
        <w:jc w:val="both"/>
        <w:rPr>
          <w:rFonts w:ascii="Times New Roman" w:hAnsi="Times New Roman" w:cs="Times New Roman"/>
        </w:rPr>
      </w:pPr>
      <w:r>
        <w:rPr>
          <w:rFonts w:ascii="Times New Roman" w:hAnsi="Times New Roman" w:cs="Times New Roman"/>
        </w:rPr>
        <w:t xml:space="preserve">In calculating the </w:t>
      </w:r>
      <w:proofErr w:type="gramStart"/>
      <w:r>
        <w:rPr>
          <w:rFonts w:ascii="Times New Roman" w:hAnsi="Times New Roman" w:cs="Times New Roman"/>
        </w:rPr>
        <w:t>24 hour</w:t>
      </w:r>
      <w:proofErr w:type="gramEnd"/>
      <w:r>
        <w:rPr>
          <w:rFonts w:ascii="Times New Roman" w:hAnsi="Times New Roman" w:cs="Times New Roman"/>
        </w:rPr>
        <w:t xml:space="preserve"> average load, load factor analysis, stochastic analysis, or modeling and simulation analysis are appropriate. </w:t>
      </w:r>
    </w:p>
    <w:p w14:paraId="6A9B8AB2" w14:textId="3D7AFD4E" w:rsidR="00462214" w:rsidRDefault="00462214" w:rsidP="00462214">
      <w:pPr>
        <w:spacing w:before="240"/>
        <w:ind w:left="360"/>
        <w:jc w:val="both"/>
        <w:rPr>
          <w:rFonts w:ascii="Times New Roman" w:hAnsi="Times New Roman" w:cs="Times New Roman"/>
        </w:rPr>
      </w:pPr>
      <w:r>
        <w:rPr>
          <w:rFonts w:ascii="Times New Roman" w:hAnsi="Times New Roman" w:cs="Times New Roman"/>
        </w:rPr>
        <w:t>The following requirement are required:</w:t>
      </w:r>
    </w:p>
    <w:p w14:paraId="62188D16" w14:textId="6E68D84C" w:rsidR="00462214" w:rsidRDefault="00462214" w:rsidP="00462214">
      <w:pPr>
        <w:pStyle w:val="ListParagraph"/>
        <w:numPr>
          <w:ilvl w:val="0"/>
          <w:numId w:val="8"/>
        </w:numPr>
        <w:spacing w:before="240"/>
        <w:jc w:val="both"/>
        <w:rPr>
          <w:rFonts w:ascii="Times New Roman" w:hAnsi="Times New Roman" w:cs="Times New Roman"/>
        </w:rPr>
      </w:pPr>
      <w:r>
        <w:rPr>
          <w:rFonts w:ascii="Times New Roman" w:hAnsi="Times New Roman" w:cs="Times New Roman"/>
        </w:rPr>
        <w:t>Economical transit</w:t>
      </w:r>
    </w:p>
    <w:p w14:paraId="66010427" w14:textId="65990913" w:rsidR="00462214" w:rsidRDefault="00462214" w:rsidP="00462214">
      <w:pPr>
        <w:pStyle w:val="ListParagraph"/>
        <w:numPr>
          <w:ilvl w:val="0"/>
          <w:numId w:val="9"/>
        </w:numPr>
        <w:spacing w:before="240"/>
        <w:ind w:left="1260"/>
        <w:jc w:val="both"/>
        <w:rPr>
          <w:rFonts w:ascii="Times New Roman" w:hAnsi="Times New Roman" w:cs="Times New Roman"/>
        </w:rPr>
      </w:pPr>
      <w:r>
        <w:rPr>
          <w:rFonts w:ascii="Times New Roman" w:hAnsi="Times New Roman" w:cs="Times New Roman"/>
        </w:rPr>
        <w:t>Economical transit distance (nautical miles)</w:t>
      </w:r>
    </w:p>
    <w:p w14:paraId="5B6FC190" w14:textId="4096B1D6" w:rsidR="00462214" w:rsidRDefault="00462214" w:rsidP="00462214">
      <w:pPr>
        <w:pStyle w:val="ListParagraph"/>
        <w:numPr>
          <w:ilvl w:val="0"/>
          <w:numId w:val="9"/>
        </w:numPr>
        <w:spacing w:before="240"/>
        <w:ind w:left="1260"/>
        <w:jc w:val="both"/>
        <w:rPr>
          <w:rFonts w:ascii="Times New Roman" w:hAnsi="Times New Roman" w:cs="Times New Roman"/>
        </w:rPr>
      </w:pPr>
      <w:r>
        <w:rPr>
          <w:rFonts w:ascii="Times New Roman" w:hAnsi="Times New Roman" w:cs="Times New Roman"/>
        </w:rPr>
        <w:t>Endurance speed (knots)</w:t>
      </w:r>
    </w:p>
    <w:p w14:paraId="698AD739" w14:textId="76C0D23A" w:rsidR="00462214" w:rsidRDefault="00462214" w:rsidP="00462214">
      <w:pPr>
        <w:pStyle w:val="ListParagraph"/>
        <w:numPr>
          <w:ilvl w:val="0"/>
          <w:numId w:val="8"/>
        </w:numPr>
        <w:spacing w:before="240"/>
        <w:jc w:val="both"/>
        <w:rPr>
          <w:rFonts w:ascii="Times New Roman" w:hAnsi="Times New Roman" w:cs="Times New Roman"/>
        </w:rPr>
      </w:pPr>
      <w:r>
        <w:rPr>
          <w:rFonts w:ascii="Times New Roman" w:hAnsi="Times New Roman" w:cs="Times New Roman"/>
        </w:rPr>
        <w:t>Operational presence</w:t>
      </w:r>
    </w:p>
    <w:p w14:paraId="2AD3239F" w14:textId="01E4CC86" w:rsidR="00462214" w:rsidRDefault="00462214" w:rsidP="00462214">
      <w:pPr>
        <w:pStyle w:val="ListParagraph"/>
        <w:numPr>
          <w:ilvl w:val="0"/>
          <w:numId w:val="10"/>
        </w:numPr>
        <w:spacing w:before="240"/>
        <w:ind w:left="1260"/>
        <w:jc w:val="both"/>
        <w:rPr>
          <w:rFonts w:ascii="Times New Roman" w:hAnsi="Times New Roman" w:cs="Times New Roman"/>
        </w:rPr>
      </w:pPr>
      <w:r>
        <w:rPr>
          <w:rFonts w:ascii="Times New Roman" w:hAnsi="Times New Roman" w:cs="Times New Roman"/>
        </w:rPr>
        <w:t>Operational mission</w:t>
      </w:r>
    </w:p>
    <w:p w14:paraId="6FF1386F" w14:textId="18230F04" w:rsidR="00462214" w:rsidRDefault="00462214" w:rsidP="00462214">
      <w:pPr>
        <w:pStyle w:val="ListParagraph"/>
        <w:numPr>
          <w:ilvl w:val="0"/>
          <w:numId w:val="10"/>
        </w:numPr>
        <w:spacing w:before="240"/>
        <w:ind w:left="1260"/>
        <w:jc w:val="both"/>
        <w:rPr>
          <w:rFonts w:ascii="Times New Roman" w:hAnsi="Times New Roman" w:cs="Times New Roman"/>
        </w:rPr>
      </w:pPr>
      <w:r>
        <w:rPr>
          <w:rFonts w:ascii="Times New Roman" w:hAnsi="Times New Roman" w:cs="Times New Roman"/>
        </w:rPr>
        <w:t>Speed – time profile (knots vs. % time)</w:t>
      </w:r>
    </w:p>
    <w:p w14:paraId="6E4026A2" w14:textId="5B4959F3" w:rsidR="00462214" w:rsidRDefault="00462214" w:rsidP="00462214">
      <w:pPr>
        <w:pStyle w:val="ListParagraph"/>
        <w:numPr>
          <w:ilvl w:val="0"/>
          <w:numId w:val="10"/>
        </w:numPr>
        <w:spacing w:before="240"/>
        <w:ind w:left="1260"/>
        <w:jc w:val="both"/>
        <w:rPr>
          <w:rFonts w:ascii="Times New Roman" w:hAnsi="Times New Roman" w:cs="Times New Roman"/>
        </w:rPr>
      </w:pPr>
      <w:r>
        <w:rPr>
          <w:rFonts w:ascii="Times New Roman" w:hAnsi="Times New Roman" w:cs="Times New Roman"/>
        </w:rPr>
        <w:t>Operational presence time (hours)</w:t>
      </w:r>
    </w:p>
    <w:p w14:paraId="4E2FF325" w14:textId="63927E3D" w:rsidR="00462214" w:rsidRDefault="00462214" w:rsidP="00462214">
      <w:pPr>
        <w:spacing w:before="240"/>
        <w:ind w:left="360"/>
        <w:jc w:val="both"/>
        <w:rPr>
          <w:rFonts w:ascii="Times New Roman" w:hAnsi="Times New Roman" w:cs="Times New Roman"/>
        </w:rPr>
      </w:pPr>
      <w:r>
        <w:rPr>
          <w:rFonts w:ascii="Times New Roman" w:hAnsi="Times New Roman" w:cs="Times New Roman"/>
        </w:rPr>
        <w:t>The following design details are needed:</w:t>
      </w:r>
    </w:p>
    <w:p w14:paraId="1118D404" w14:textId="73070FBD" w:rsidR="00462214" w:rsidRDefault="00462214" w:rsidP="00462214">
      <w:pPr>
        <w:pStyle w:val="ListParagraph"/>
        <w:numPr>
          <w:ilvl w:val="1"/>
          <w:numId w:val="8"/>
        </w:numPr>
        <w:spacing w:before="240"/>
        <w:jc w:val="both"/>
        <w:rPr>
          <w:rFonts w:ascii="Times New Roman" w:hAnsi="Times New Roman" w:cs="Times New Roman"/>
        </w:rPr>
      </w:pPr>
      <w:r>
        <w:rPr>
          <w:rFonts w:ascii="Times New Roman" w:hAnsi="Times New Roman" w:cs="Times New Roman"/>
        </w:rPr>
        <w:t>24-hour average electric load (averaged over an ambient condition profile)</w:t>
      </w:r>
    </w:p>
    <w:p w14:paraId="511A8218" w14:textId="2656CB6D" w:rsidR="00462214" w:rsidRDefault="00462214" w:rsidP="00462214">
      <w:pPr>
        <w:pStyle w:val="ListParagraph"/>
        <w:numPr>
          <w:ilvl w:val="1"/>
          <w:numId w:val="8"/>
        </w:numPr>
        <w:spacing w:before="240"/>
        <w:jc w:val="both"/>
        <w:rPr>
          <w:rFonts w:ascii="Times New Roman" w:hAnsi="Times New Roman" w:cs="Times New Roman"/>
        </w:rPr>
      </w:pPr>
      <w:r>
        <w:rPr>
          <w:rFonts w:ascii="Times New Roman" w:hAnsi="Times New Roman" w:cs="Times New Roman"/>
        </w:rPr>
        <w:t>Propulsion electric load as a function of ship speed</w:t>
      </w:r>
    </w:p>
    <w:p w14:paraId="687A611D" w14:textId="74DBB643" w:rsidR="00462214" w:rsidRDefault="00462214" w:rsidP="00462214">
      <w:pPr>
        <w:pStyle w:val="ListParagraph"/>
        <w:numPr>
          <w:ilvl w:val="1"/>
          <w:numId w:val="8"/>
        </w:numPr>
        <w:spacing w:before="240"/>
        <w:jc w:val="both"/>
        <w:rPr>
          <w:rFonts w:ascii="Times New Roman" w:hAnsi="Times New Roman" w:cs="Times New Roman"/>
        </w:rPr>
      </w:pPr>
      <w:r>
        <w:rPr>
          <w:rFonts w:ascii="Times New Roman" w:hAnsi="Times New Roman" w:cs="Times New Roman"/>
        </w:rPr>
        <w:lastRenderedPageBreak/>
        <w:t>Plant deterioration allowance (degradation of energy storage over its life – use 1.25 unless data sheets indicate otherwise)</w:t>
      </w:r>
    </w:p>
    <w:p w14:paraId="1E074C61" w14:textId="57A8BFFC" w:rsidR="00462214" w:rsidRDefault="00462214" w:rsidP="00462214">
      <w:pPr>
        <w:pStyle w:val="ListParagraph"/>
        <w:numPr>
          <w:ilvl w:val="1"/>
          <w:numId w:val="8"/>
        </w:numPr>
        <w:spacing w:before="240"/>
        <w:jc w:val="both"/>
        <w:rPr>
          <w:rFonts w:ascii="Times New Roman" w:hAnsi="Times New Roman" w:cs="Times New Roman"/>
        </w:rPr>
      </w:pPr>
      <w:r>
        <w:rPr>
          <w:rFonts w:ascii="Times New Roman" w:hAnsi="Times New Roman" w:cs="Times New Roman"/>
        </w:rPr>
        <w:t xml:space="preserve">Sea State and fouling factor. </w:t>
      </w:r>
      <w:r w:rsidRPr="00462214">
        <w:rPr>
          <w:rFonts w:ascii="Times New Roman" w:hAnsi="Times New Roman" w:cs="Times New Roman"/>
        </w:rPr>
        <w:t>For early stages of design, the default value of 1.10 is used for every speed. For later stages of design, the sea state and fouling factor should be determined for the intended operating area.</w:t>
      </w:r>
    </w:p>
    <w:p w14:paraId="5C5C9070" w14:textId="33C9B296" w:rsidR="00462214" w:rsidRDefault="00462214" w:rsidP="00462214">
      <w:pPr>
        <w:spacing w:before="240"/>
        <w:jc w:val="both"/>
        <w:rPr>
          <w:rFonts w:ascii="Times New Roman" w:hAnsi="Times New Roman" w:cs="Times New Roman"/>
        </w:rPr>
      </w:pPr>
      <w:r>
        <w:rPr>
          <w:rFonts w:ascii="Times New Roman" w:hAnsi="Times New Roman" w:cs="Times New Roman"/>
        </w:rPr>
        <w:t xml:space="preserve">The Economical transit energy requirement </w:t>
      </w:r>
      <w:r w:rsidR="00153AB4">
        <w:rPr>
          <w:rFonts w:ascii="Times New Roman" w:hAnsi="Times New Roman" w:cs="Times New Roman"/>
        </w:rPr>
        <w:t xml:space="preserve">(kW-h) </w:t>
      </w:r>
      <w:r>
        <w:rPr>
          <w:rFonts w:ascii="Times New Roman" w:hAnsi="Times New Roman" w:cs="Times New Roman"/>
        </w:rPr>
        <w:t>is given by</w:t>
      </w:r>
    </w:p>
    <w:p w14:paraId="73378C4B" w14:textId="1783E7EE" w:rsidR="00462214" w:rsidRPr="008570DE" w:rsidRDefault="00F92914" w:rsidP="00462214">
      <w:pPr>
        <w:spacing w:before="240"/>
        <w:jc w:val="both"/>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 xml:space="preserve">Economical Transit Power </m:t>
              </m:r>
              <m:d>
                <m:dPr>
                  <m:ctrlPr>
                    <w:rPr>
                      <w:rFonts w:ascii="Cambria Math" w:hAnsi="Cambria Math" w:cs="Times New Roman"/>
                      <w:i/>
                      <w:sz w:val="20"/>
                      <w:szCs w:val="20"/>
                    </w:rPr>
                  </m:ctrlPr>
                </m:dPr>
                <m:e>
                  <m:r>
                    <w:rPr>
                      <w:rFonts w:ascii="Cambria Math" w:hAnsi="Cambria Math" w:cs="Times New Roman"/>
                      <w:sz w:val="20"/>
                      <w:szCs w:val="20"/>
                    </w:rPr>
                    <m:t>kW</m:t>
                  </m:r>
                </m:e>
              </m:d>
              <m:r>
                <w:rPr>
                  <w:rFonts w:ascii="Cambria Math" w:hAnsi="Cambria Math" w:cs="Times New Roman"/>
                  <w:sz w:val="20"/>
                  <w:szCs w:val="20"/>
                </w:rPr>
                <m:t xml:space="preserve">×Economical Transit Distance </m:t>
              </m:r>
              <m:d>
                <m:dPr>
                  <m:ctrlPr>
                    <w:rPr>
                      <w:rFonts w:ascii="Cambria Math" w:hAnsi="Cambria Math" w:cs="Times New Roman"/>
                      <w:i/>
                      <w:sz w:val="20"/>
                      <w:szCs w:val="20"/>
                    </w:rPr>
                  </m:ctrlPr>
                </m:dPr>
                <m:e>
                  <m:r>
                    <w:rPr>
                      <w:rFonts w:ascii="Cambria Math" w:hAnsi="Cambria Math" w:cs="Times New Roman"/>
                      <w:sz w:val="20"/>
                      <w:szCs w:val="20"/>
                    </w:rPr>
                    <m:t>NM</m:t>
                  </m:r>
                </m:e>
              </m:d>
              <m:r>
                <w:rPr>
                  <w:rFonts w:ascii="Cambria Math" w:hAnsi="Cambria Math" w:cs="Times New Roman"/>
                  <w:sz w:val="20"/>
                  <w:szCs w:val="20"/>
                </w:rPr>
                <m:t>×Plant Deterioration Allowance</m:t>
              </m:r>
            </m:num>
            <m:den>
              <m:r>
                <w:rPr>
                  <w:rFonts w:ascii="Cambria Math" w:hAnsi="Cambria Math" w:cs="Times New Roman"/>
                  <w:sz w:val="20"/>
                  <w:szCs w:val="20"/>
                </w:rPr>
                <m:t>Endurance Speed (knots)</m:t>
              </m:r>
            </m:den>
          </m:f>
        </m:oMath>
      </m:oMathPara>
    </w:p>
    <w:p w14:paraId="45FE85B3" w14:textId="1C7CF7BB" w:rsidR="008570DE" w:rsidRPr="00153AB4" w:rsidRDefault="008570DE" w:rsidP="00462214">
      <w:pPr>
        <w:spacing w:before="240"/>
        <w:jc w:val="both"/>
        <w:rPr>
          <w:rFonts w:ascii="Times New Roman" w:hAnsi="Times New Roman" w:cs="Times New Roman"/>
          <w:sz w:val="20"/>
          <w:szCs w:val="20"/>
        </w:rPr>
      </w:pPr>
      <w:r>
        <w:rPr>
          <w:rFonts w:ascii="Times New Roman" w:eastAsiaTheme="minorEastAsia" w:hAnsi="Times New Roman" w:cs="Times New Roman"/>
          <w:sz w:val="20"/>
          <w:szCs w:val="20"/>
        </w:rPr>
        <w:t>Where:</w:t>
      </w:r>
    </w:p>
    <w:p w14:paraId="685685C1" w14:textId="2AF9EE7A" w:rsidR="00462214" w:rsidRPr="00462214" w:rsidRDefault="008570DE" w:rsidP="00462214">
      <w:pPr>
        <w:spacing w:before="240"/>
        <w:jc w:val="both"/>
        <w:rPr>
          <w:rFonts w:ascii="Times New Roman" w:hAnsi="Times New Roman" w:cs="Times New Roman"/>
        </w:rPr>
      </w:pPr>
      <m:oMathPara>
        <m:oMath>
          <m:r>
            <w:rPr>
              <w:rFonts w:ascii="Cambria Math" w:hAnsi="Cambria Math" w:cs="Times New Roman"/>
              <w:sz w:val="20"/>
              <w:szCs w:val="20"/>
            </w:rPr>
            <m:t xml:space="preserve">Economical Transit Power </m:t>
          </m:r>
          <m:d>
            <m:dPr>
              <m:ctrlPr>
                <w:rPr>
                  <w:rFonts w:ascii="Cambria Math" w:hAnsi="Cambria Math" w:cs="Times New Roman"/>
                  <w:i/>
                  <w:sz w:val="20"/>
                  <w:szCs w:val="20"/>
                </w:rPr>
              </m:ctrlPr>
            </m:dPr>
            <m:e>
              <m:r>
                <w:rPr>
                  <w:rFonts w:ascii="Cambria Math" w:hAnsi="Cambria Math" w:cs="Times New Roman"/>
                  <w:sz w:val="20"/>
                  <w:szCs w:val="20"/>
                </w:rPr>
                <m:t>kW</m:t>
              </m:r>
            </m:e>
          </m:d>
          <m:r>
            <w:rPr>
              <w:rFonts w:ascii="Cambria Math" w:hAnsi="Cambria Math" w:cs="Times New Roman"/>
              <w:sz w:val="20"/>
              <w:szCs w:val="20"/>
            </w:rPr>
            <m:t>=24 hour average electric load+propulsion electric load at endurance speed ×sea state and fouling factor</m:t>
          </m:r>
        </m:oMath>
      </m:oMathPara>
    </w:p>
    <w:p w14:paraId="0B208E9C" w14:textId="5956F336" w:rsidR="00462214" w:rsidRDefault="008570DE" w:rsidP="00462214">
      <w:pPr>
        <w:spacing w:before="240"/>
        <w:jc w:val="both"/>
        <w:rPr>
          <w:rFonts w:ascii="Times New Roman" w:hAnsi="Times New Roman" w:cs="Times New Roman"/>
        </w:rPr>
      </w:pPr>
      <w:r>
        <w:rPr>
          <w:rFonts w:ascii="Times New Roman" w:hAnsi="Times New Roman" w:cs="Times New Roman"/>
        </w:rPr>
        <w:t xml:space="preserve">The maximum useable energy of the energy storage system should be no less than the Economical transit energy requirement </w:t>
      </w:r>
    </w:p>
    <w:p w14:paraId="6267717D" w14:textId="6AC554E9" w:rsidR="008570DE" w:rsidRDefault="008570DE" w:rsidP="00462214">
      <w:pPr>
        <w:spacing w:before="240"/>
        <w:jc w:val="both"/>
        <w:rPr>
          <w:rFonts w:ascii="Times New Roman" w:hAnsi="Times New Roman" w:cs="Times New Roman"/>
        </w:rPr>
      </w:pPr>
      <w:r>
        <w:rPr>
          <w:rFonts w:ascii="Times New Roman" w:hAnsi="Times New Roman" w:cs="Times New Roman"/>
        </w:rPr>
        <w:t>The Operational presence energy requirement (kW-h) is given by</w:t>
      </w:r>
    </w:p>
    <w:p w14:paraId="46B79E6D" w14:textId="5A6B598D" w:rsidR="008570DE" w:rsidRPr="008570DE" w:rsidRDefault="008570DE" w:rsidP="00462214">
      <w:pPr>
        <w:spacing w:before="240"/>
        <w:jc w:val="both"/>
        <w:rPr>
          <w:rFonts w:ascii="Times New Roman" w:eastAsiaTheme="minorEastAsia" w:hAnsi="Times New Roman" w:cs="Times New Roman"/>
          <w:sz w:val="20"/>
          <w:szCs w:val="20"/>
        </w:rPr>
      </w:pPr>
      <m:oMathPara>
        <m:oMath>
          <m:r>
            <w:rPr>
              <w:rFonts w:ascii="Cambria Math" w:hAnsi="Cambria Math" w:cs="Times New Roman"/>
              <w:sz w:val="20"/>
              <w:szCs w:val="20"/>
            </w:rPr>
            <m:t xml:space="preserve">Operational Presence Power </m:t>
          </m:r>
          <m:d>
            <m:dPr>
              <m:ctrlPr>
                <w:rPr>
                  <w:rFonts w:ascii="Cambria Math" w:hAnsi="Cambria Math" w:cs="Times New Roman"/>
                  <w:i/>
                  <w:sz w:val="20"/>
                  <w:szCs w:val="20"/>
                </w:rPr>
              </m:ctrlPr>
            </m:dPr>
            <m:e>
              <m:r>
                <w:rPr>
                  <w:rFonts w:ascii="Cambria Math" w:hAnsi="Cambria Math" w:cs="Times New Roman"/>
                  <w:sz w:val="20"/>
                  <w:szCs w:val="20"/>
                </w:rPr>
                <m:t>kW</m:t>
              </m:r>
            </m:e>
          </m:d>
          <m:r>
            <w:rPr>
              <w:rFonts w:ascii="Cambria Math" w:hAnsi="Cambria Math" w:cs="Times New Roman"/>
              <w:sz w:val="20"/>
              <w:szCs w:val="20"/>
            </w:rPr>
            <m:t xml:space="preserve">×Operational Presnece Time </m:t>
          </m:r>
          <m:d>
            <m:dPr>
              <m:ctrlPr>
                <w:rPr>
                  <w:rFonts w:ascii="Cambria Math" w:hAnsi="Cambria Math" w:cs="Times New Roman"/>
                  <w:i/>
                  <w:sz w:val="20"/>
                  <w:szCs w:val="20"/>
                </w:rPr>
              </m:ctrlPr>
            </m:dPr>
            <m:e>
              <m:r>
                <w:rPr>
                  <w:rFonts w:ascii="Cambria Math" w:hAnsi="Cambria Math" w:cs="Times New Roman"/>
                  <w:sz w:val="20"/>
                  <w:szCs w:val="20"/>
                </w:rPr>
                <m:t>h</m:t>
              </m:r>
            </m:e>
          </m:d>
          <m:r>
            <w:rPr>
              <w:rFonts w:ascii="Cambria Math" w:hAnsi="Cambria Math" w:cs="Times New Roman"/>
              <w:sz w:val="20"/>
              <w:szCs w:val="20"/>
            </w:rPr>
            <m:t>×Plant Deterioration Allowance</m:t>
          </m:r>
        </m:oMath>
      </m:oMathPara>
    </w:p>
    <w:p w14:paraId="7120B71F" w14:textId="6BBC384E" w:rsidR="008570DE" w:rsidRPr="00074A42" w:rsidRDefault="008570DE" w:rsidP="00462214">
      <w:pPr>
        <w:spacing w:before="240"/>
        <w:jc w:val="both"/>
        <w:rPr>
          <w:rFonts w:ascii="Times New Roman" w:eastAsiaTheme="minorEastAsia" w:hAnsi="Times New Roman" w:cs="Times New Roman"/>
          <w:sz w:val="20"/>
          <w:szCs w:val="20"/>
        </w:rPr>
      </w:pPr>
      <m:oMathPara>
        <m:oMath>
          <m:r>
            <w:rPr>
              <w:rFonts w:ascii="Cambria Math" w:hAnsi="Cambria Math" w:cs="Times New Roman"/>
              <w:sz w:val="20"/>
              <w:szCs w:val="20"/>
            </w:rPr>
            <m:t xml:space="preserve">Operational Presence Power </m:t>
          </m:r>
          <m:d>
            <m:dPr>
              <m:ctrlPr>
                <w:rPr>
                  <w:rFonts w:ascii="Cambria Math" w:hAnsi="Cambria Math" w:cs="Times New Roman"/>
                  <w:i/>
                  <w:sz w:val="20"/>
                  <w:szCs w:val="20"/>
                </w:rPr>
              </m:ctrlPr>
            </m:dPr>
            <m:e>
              <m:r>
                <w:rPr>
                  <w:rFonts w:ascii="Cambria Math" w:hAnsi="Cambria Math" w:cs="Times New Roman"/>
                  <w:sz w:val="20"/>
                  <w:szCs w:val="20"/>
                </w:rPr>
                <m:t>kW</m:t>
              </m:r>
            </m:e>
          </m:d>
          <m:r>
            <w:rPr>
              <w:rFonts w:ascii="Cambria Math" w:hAnsi="Cambria Math" w:cs="Times New Roman"/>
              <w:sz w:val="20"/>
              <w:szCs w:val="20"/>
            </w:rPr>
            <m:t xml:space="preserve">=24 </m:t>
          </m:r>
          <m:r>
            <w:rPr>
              <w:rFonts w:ascii="Cambria Math" w:hAnsi="Cambria Math" w:cs="Times New Roman"/>
              <w:sz w:val="20"/>
              <w:szCs w:val="20"/>
            </w:rPr>
            <m:t xml:space="preserve">hour average power+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n</m:t>
              </m:r>
            </m:sup>
            <m:e>
              <m:sSub>
                <m:sSubPr>
                  <m:ctrlPr>
                    <w:rPr>
                      <w:rFonts w:ascii="Cambria Math" w:hAnsi="Cambria Math" w:cs="Times New Roman"/>
                      <w:i/>
                      <w:sz w:val="20"/>
                      <w:szCs w:val="20"/>
                    </w:rPr>
                  </m:ctrlPr>
                </m:sSubPr>
                <m:e>
                  <m:r>
                    <w:rPr>
                      <w:rFonts w:ascii="Cambria Math" w:hAnsi="Cambria Math" w:cs="Times New Roman"/>
                      <w:sz w:val="20"/>
                      <w:szCs w:val="20"/>
                    </w:rPr>
                    <m:t>Profile_fraction</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propulsion electric load</m:t>
                  </m:r>
                </m:e>
                <m:sub>
                  <m:r>
                    <w:rPr>
                      <w:rFonts w:ascii="Cambria Math" w:hAnsi="Cambria Math" w:cs="Times New Roman"/>
                      <w:sz w:val="20"/>
                      <w:szCs w:val="20"/>
                    </w:rPr>
                    <m:t>i</m:t>
                  </m:r>
                </m:sub>
              </m:sSub>
              <m:r>
                <w:rPr>
                  <w:rFonts w:ascii="Cambria Math" w:hAnsi="Cambria Math" w:cs="Times New Roman"/>
                  <w:sz w:val="20"/>
                  <w:szCs w:val="20"/>
                </w:rPr>
                <m:t>×sea state and fouling factor</m:t>
              </m:r>
            </m:e>
          </m:nary>
        </m:oMath>
      </m:oMathPara>
    </w:p>
    <w:p w14:paraId="36272185" w14:textId="6DB7079E" w:rsidR="00074A42" w:rsidRDefault="00074A42" w:rsidP="00074A42">
      <w:pPr>
        <w:spacing w:before="240"/>
        <w:jc w:val="both"/>
        <w:rPr>
          <w:rFonts w:ascii="Times New Roman" w:hAnsi="Times New Roman" w:cs="Times New Roman"/>
        </w:rPr>
      </w:pPr>
      <w:r>
        <w:rPr>
          <w:rFonts w:ascii="Times New Roman" w:hAnsi="Times New Roman" w:cs="Times New Roman"/>
        </w:rPr>
        <w:t xml:space="preserve">The maximum useable energy of the energy storage system should be no less than the Operational presence energy requirement </w:t>
      </w:r>
    </w:p>
    <w:p w14:paraId="210DD3F5" w14:textId="7226D0EB" w:rsidR="0034723A" w:rsidRPr="0034723A" w:rsidRDefault="00E929F8" w:rsidP="008A1DF5">
      <w:pPr>
        <w:pStyle w:val="ListParagraph"/>
        <w:keepNext/>
        <w:numPr>
          <w:ilvl w:val="0"/>
          <w:numId w:val="1"/>
        </w:numPr>
        <w:spacing w:before="240"/>
        <w:contextualSpacing w:val="0"/>
        <w:rPr>
          <w:rFonts w:ascii="Times New Roman" w:hAnsi="Times New Roman" w:cs="Times New Roman"/>
        </w:rPr>
      </w:pPr>
      <w:r>
        <w:rPr>
          <w:rFonts w:ascii="Times New Roman" w:hAnsi="Times New Roman" w:cs="Times New Roman"/>
        </w:rPr>
        <w:t>Reference</w:t>
      </w:r>
      <w:r w:rsidR="0034723A">
        <w:rPr>
          <w:rFonts w:ascii="Times New Roman" w:hAnsi="Times New Roman" w:cs="Times New Roman"/>
        </w:rPr>
        <w:t>s</w:t>
      </w:r>
    </w:p>
    <w:p w14:paraId="3F87A2C7" w14:textId="38FEE973" w:rsidR="00B317BD" w:rsidRDefault="00B317BD" w:rsidP="000E3F1D">
      <w:pPr>
        <w:pStyle w:val="NormalWeb"/>
        <w:ind w:left="-90"/>
      </w:pPr>
      <w:r>
        <w:t xml:space="preserve">IEEE Std 45.1 </w:t>
      </w:r>
      <w:r w:rsidRPr="00B317BD">
        <w:t>IEEE Recommended Practice for Electrical Installations on Shipboard</w:t>
      </w:r>
      <w:r w:rsidR="00912FF7">
        <w:t>—</w:t>
      </w:r>
      <w:r w:rsidRPr="00B317BD">
        <w:t>Design</w:t>
      </w:r>
    </w:p>
    <w:p w14:paraId="2D4EE326" w14:textId="77777777" w:rsidR="00912FF7" w:rsidRDefault="00912FF7" w:rsidP="000E3F1D">
      <w:pPr>
        <w:pStyle w:val="NormalWeb"/>
        <w:ind w:left="-90"/>
      </w:pPr>
      <w:r w:rsidRPr="00912FF7">
        <w:t xml:space="preserve">ABS Requirements for Use of Lithium-ion Batteries in the Marine and Offshore Industries, December 2025. </w:t>
      </w:r>
    </w:p>
    <w:p w14:paraId="5A9EB891" w14:textId="77777777" w:rsidR="00912FF7" w:rsidRDefault="00912FF7" w:rsidP="000E3F1D">
      <w:pPr>
        <w:pStyle w:val="NormalWeb"/>
        <w:ind w:left="-90"/>
      </w:pPr>
      <w:r w:rsidRPr="00912FF7">
        <w:t>ABS Requirements for Use of Supercapacitors in the Marine and Offshore Industries, July 2022.</w:t>
      </w:r>
    </w:p>
    <w:p w14:paraId="57DE15B7" w14:textId="161B7882" w:rsidR="00912FF7" w:rsidRDefault="00912FF7" w:rsidP="000E3F1D">
      <w:pPr>
        <w:pStyle w:val="NormalWeb"/>
        <w:ind w:left="-90"/>
      </w:pPr>
      <w:r w:rsidRPr="00912FF7">
        <w:t>DPC 200-1 Calculation of Surface Ship Endurance Fuel Requirements, 4 October 2011.</w:t>
      </w:r>
    </w:p>
    <w:p w14:paraId="1A752092" w14:textId="16B8E787" w:rsidR="00912FF7" w:rsidRDefault="00912FF7" w:rsidP="000E3F1D">
      <w:pPr>
        <w:pStyle w:val="NormalWeb"/>
        <w:ind w:left="-90"/>
      </w:pPr>
      <w:r w:rsidRPr="00912FF7">
        <w:t>Doerry, Norbert, and John Amy, "Implementing Quality of Service in Shipboard Power System Design" presented at IEEE ESTS 2011 Alexandria VA.</w:t>
      </w:r>
    </w:p>
    <w:p w14:paraId="2790EB95" w14:textId="6D02C0F1" w:rsidR="00912FF7" w:rsidRDefault="00912FF7" w:rsidP="000E3F1D">
      <w:pPr>
        <w:pStyle w:val="NormalWeb"/>
        <w:ind w:left="-90"/>
      </w:pPr>
      <w:r w:rsidRPr="00912FF7">
        <w:lastRenderedPageBreak/>
        <w:t>Sun, Prof. Jing, Prof. Emeritus Mukund R. Patel and Dr. Jun Hou, Fuel Cells, Solar Power and Energy Storage, The Marine Engineering Series Edited by Michael G. Parson, SNAME, Alexandria VA, 2020 ISBN 978-1-7923-1231-1</w:t>
      </w:r>
    </w:p>
    <w:sectPr w:rsidR="00912FF7">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DFBA7" w14:textId="77777777" w:rsidR="00F92914" w:rsidRDefault="00F92914" w:rsidP="008C641F">
      <w:pPr>
        <w:spacing w:after="0" w:line="240" w:lineRule="auto"/>
      </w:pPr>
      <w:r>
        <w:separator/>
      </w:r>
    </w:p>
  </w:endnote>
  <w:endnote w:type="continuationSeparator" w:id="0">
    <w:p w14:paraId="44898E11" w14:textId="77777777" w:rsidR="00F92914" w:rsidRDefault="00F92914" w:rsidP="008C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A9A93" w14:textId="24D35688" w:rsidR="008C641F" w:rsidRDefault="008C641F" w:rsidP="008C641F">
    <w:pPr>
      <w:pStyle w:val="Footer"/>
    </w:pPr>
    <w:r>
      <w:rPr>
        <w:noProof/>
      </w:rPr>
      <w:drawing>
        <wp:anchor distT="0" distB="0" distL="114300" distR="114300" simplePos="0" relativeHeight="251660288" behindDoc="0" locked="0" layoutInCell="1" allowOverlap="1" wp14:anchorId="4DB4C112" wp14:editId="4000FD52">
          <wp:simplePos x="0" y="0"/>
          <wp:positionH relativeFrom="column">
            <wp:posOffset>227965</wp:posOffset>
          </wp:positionH>
          <wp:positionV relativeFrom="paragraph">
            <wp:posOffset>92075</wp:posOffset>
          </wp:positionV>
          <wp:extent cx="210312" cy="210312"/>
          <wp:effectExtent l="0" t="0" r="0" b="0"/>
          <wp:wrapThrough wrapText="bothSides">
            <wp:wrapPolygon edited="0">
              <wp:start x="1958" y="0"/>
              <wp:lineTo x="0" y="3915"/>
              <wp:lineTo x="0" y="17619"/>
              <wp:lineTo x="1958" y="19577"/>
              <wp:lineTo x="19577" y="19577"/>
              <wp:lineTo x="19577" y="0"/>
              <wp:lineTo x="1958" y="0"/>
            </wp:wrapPolygon>
          </wp:wrapThrough>
          <wp:docPr id="1185287521" name="Picture 6" descr="A black and white circle with a person in it&#10;&#10;Description automatically generated">
            <a:extLst xmlns:a="http://schemas.openxmlformats.org/drawingml/2006/main">
              <a:ext uri="{FF2B5EF4-FFF2-40B4-BE49-F238E27FC236}">
                <a16:creationId xmlns:a16="http://schemas.microsoft.com/office/drawing/2014/main" id="{53FC4551-71F8-562A-A0D4-FBB2407126C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descr="A black and white circle with a person in it&#10;&#10;Description automatically generated">
                    <a:extLst>
                      <a:ext uri="{FF2B5EF4-FFF2-40B4-BE49-F238E27FC236}">
                        <a16:creationId xmlns:a16="http://schemas.microsoft.com/office/drawing/2014/main" id="{53FC4551-71F8-562A-A0D4-FBB2407126C2}"/>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210312" cy="210312"/>
                  </a:xfrm>
                  <a:prstGeom prst="rect">
                    <a:avLst/>
                  </a:prstGeom>
                  <a:noFill/>
                </pic:spPr>
              </pic:pic>
            </a:graphicData>
          </a:graphic>
          <wp14:sizeRelH relativeFrom="margin">
            <wp14:pctWidth>0</wp14:pctWidth>
          </wp14:sizeRelH>
          <wp14:sizeRelV relativeFrom="margin">
            <wp14:pctHeight>0</wp14:pctHeight>
          </wp14:sizeRelV>
        </wp:anchor>
      </w:drawing>
    </w:r>
    <w:r>
      <w:tab/>
    </w:r>
    <w:r w:rsidRPr="00124833">
      <w:t>© 202</w:t>
    </w:r>
    <w:r w:rsidR="00C93341">
      <w:t>6</w:t>
    </w:r>
    <w:r w:rsidRPr="00124833">
      <w:t xml:space="preserve"> by Norbert Doerry</w:t>
    </w:r>
  </w:p>
  <w:p w14:paraId="6278C1EE" w14:textId="77777777" w:rsidR="008C641F" w:rsidRDefault="008C641F" w:rsidP="008C641F">
    <w:pPr>
      <w:pStyle w:val="Footer"/>
    </w:pPr>
    <w:r>
      <w:rPr>
        <w:noProof/>
      </w:rPr>
      <w:drawing>
        <wp:anchor distT="0" distB="0" distL="114300" distR="114300" simplePos="0" relativeHeight="251659264" behindDoc="0" locked="0" layoutInCell="1" allowOverlap="1" wp14:anchorId="31CF6CF9" wp14:editId="0102FE65">
          <wp:simplePos x="0" y="0"/>
          <wp:positionH relativeFrom="column">
            <wp:posOffset>0</wp:posOffset>
          </wp:positionH>
          <wp:positionV relativeFrom="paragraph">
            <wp:posOffset>-78105</wp:posOffset>
          </wp:positionV>
          <wp:extent cx="207818" cy="209550"/>
          <wp:effectExtent l="0" t="0" r="1905" b="0"/>
          <wp:wrapNone/>
          <wp:docPr id="12387308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77314" name="Picture 1" descr="A black background with a black square&#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18" cy="209550"/>
                  </a:xfrm>
                  <a:prstGeom prst="rect">
                    <a:avLst/>
                  </a:prstGeom>
                  <a:noFill/>
                </pic:spPr>
              </pic:pic>
            </a:graphicData>
          </a:graphic>
        </wp:anchor>
      </w:drawing>
    </w:r>
    <w:r>
      <w:tab/>
    </w:r>
    <w:r w:rsidRPr="00124833">
      <w:t>This work is licensed via: CC BY 4.0</w:t>
    </w:r>
    <w:proofErr w:type="gramStart"/>
    <w:r w:rsidRPr="00124833">
      <w:t xml:space="preserve">   (</w:t>
    </w:r>
    <w:proofErr w:type="gramEnd"/>
    <w:r w:rsidRPr="00124833">
      <w:t>https://creativecommons.org/)</w:t>
    </w:r>
    <w:r>
      <w:tab/>
    </w:r>
    <w:sdt>
      <w:sdtPr>
        <w:id w:val="11036148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A108C" w14:textId="77777777" w:rsidR="00F92914" w:rsidRDefault="00F92914" w:rsidP="008C641F">
      <w:pPr>
        <w:spacing w:after="0" w:line="240" w:lineRule="auto"/>
      </w:pPr>
      <w:r>
        <w:separator/>
      </w:r>
    </w:p>
  </w:footnote>
  <w:footnote w:type="continuationSeparator" w:id="0">
    <w:p w14:paraId="7BE33FD3" w14:textId="77777777" w:rsidR="00F92914" w:rsidRDefault="00F92914" w:rsidP="008C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A4158"/>
    <w:multiLevelType w:val="hybridMultilevel"/>
    <w:tmpl w:val="F7D68E78"/>
    <w:lvl w:ilvl="0" w:tplc="30DA69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C866F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F9B2A82"/>
    <w:multiLevelType w:val="hybridMultilevel"/>
    <w:tmpl w:val="C390E1E0"/>
    <w:lvl w:ilvl="0" w:tplc="0E32D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E04E57"/>
    <w:multiLevelType w:val="hybridMultilevel"/>
    <w:tmpl w:val="3C4E06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CF0A7A"/>
    <w:multiLevelType w:val="hybridMultilevel"/>
    <w:tmpl w:val="56C09D8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09045D"/>
    <w:multiLevelType w:val="hybridMultilevel"/>
    <w:tmpl w:val="D53CE0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4466C2"/>
    <w:multiLevelType w:val="hybridMultilevel"/>
    <w:tmpl w:val="2C4E0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666FB3"/>
    <w:multiLevelType w:val="hybridMultilevel"/>
    <w:tmpl w:val="278C81DE"/>
    <w:lvl w:ilvl="0" w:tplc="5D18F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CB3AF9"/>
    <w:multiLevelType w:val="hybridMultilevel"/>
    <w:tmpl w:val="B2C6DCD0"/>
    <w:lvl w:ilvl="0" w:tplc="D14AA6C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7F054795"/>
    <w:multiLevelType w:val="multilevel"/>
    <w:tmpl w:val="5992A9A0"/>
    <w:lvl w:ilvl="0">
      <w:start w:val="1"/>
      <w:numFmt w:val="decimal"/>
      <w:pStyle w:val="tablecaption"/>
      <w:suff w:val="space"/>
      <w:lvlText w:val="Table %1."/>
      <w:lvlJc w:val="left"/>
      <w:pPr>
        <w:ind w:left="1980" w:firstLine="0"/>
      </w:pPr>
      <w:rPr>
        <w:rFonts w:ascii="Times New Roman" w:hAnsi="Times New Roman" w:hint="default"/>
        <w:b/>
        <w:i w:val="0"/>
        <w:sz w:val="18"/>
        <w:szCs w:val="18"/>
      </w:rPr>
    </w:lvl>
    <w:lvl w:ilvl="1">
      <w:start w:val="1"/>
      <w:numFmt w:val="decimal"/>
      <w:lvlText w:val="%1.%2."/>
      <w:lvlJc w:val="left"/>
      <w:pPr>
        <w:tabs>
          <w:tab w:val="num" w:pos="900"/>
        </w:tabs>
        <w:ind w:left="-108" w:hanging="432"/>
      </w:pPr>
      <w:rPr>
        <w:rFonts w:hint="default"/>
      </w:rPr>
    </w:lvl>
    <w:lvl w:ilvl="2">
      <w:start w:val="1"/>
      <w:numFmt w:val="decimal"/>
      <w:lvlText w:val="%1.%2.%3."/>
      <w:lvlJc w:val="left"/>
      <w:pPr>
        <w:tabs>
          <w:tab w:val="num" w:pos="1620"/>
        </w:tabs>
        <w:ind w:left="324" w:hanging="504"/>
      </w:pPr>
      <w:rPr>
        <w:rFonts w:hint="default"/>
      </w:rPr>
    </w:lvl>
    <w:lvl w:ilvl="3">
      <w:start w:val="1"/>
      <w:numFmt w:val="decimal"/>
      <w:lvlText w:val="%1.%2.%3.%4."/>
      <w:lvlJc w:val="left"/>
      <w:pPr>
        <w:tabs>
          <w:tab w:val="num" w:pos="2700"/>
        </w:tabs>
        <w:ind w:left="828" w:hanging="648"/>
      </w:pPr>
      <w:rPr>
        <w:rFonts w:hint="default"/>
      </w:rPr>
    </w:lvl>
    <w:lvl w:ilvl="4">
      <w:start w:val="1"/>
      <w:numFmt w:val="decimal"/>
      <w:lvlText w:val="%1.%2.%3.%4.%5."/>
      <w:lvlJc w:val="left"/>
      <w:pPr>
        <w:tabs>
          <w:tab w:val="num" w:pos="3420"/>
        </w:tabs>
        <w:ind w:left="1332" w:hanging="792"/>
      </w:pPr>
      <w:rPr>
        <w:rFonts w:hint="default"/>
      </w:rPr>
    </w:lvl>
    <w:lvl w:ilvl="5">
      <w:start w:val="1"/>
      <w:numFmt w:val="decimal"/>
      <w:lvlText w:val="%1.%2.%3.%4.%5.%6."/>
      <w:lvlJc w:val="left"/>
      <w:pPr>
        <w:tabs>
          <w:tab w:val="num" w:pos="4500"/>
        </w:tabs>
        <w:ind w:left="1836" w:hanging="936"/>
      </w:pPr>
      <w:rPr>
        <w:rFonts w:hint="default"/>
      </w:rPr>
    </w:lvl>
    <w:lvl w:ilvl="6">
      <w:start w:val="1"/>
      <w:numFmt w:val="decimal"/>
      <w:lvlText w:val="%1.%2.%3.%4.%5.%6.%7."/>
      <w:lvlJc w:val="left"/>
      <w:pPr>
        <w:tabs>
          <w:tab w:val="num" w:pos="5220"/>
        </w:tabs>
        <w:ind w:left="2340" w:hanging="1080"/>
      </w:pPr>
      <w:rPr>
        <w:rFonts w:hint="default"/>
      </w:rPr>
    </w:lvl>
    <w:lvl w:ilvl="7">
      <w:start w:val="1"/>
      <w:numFmt w:val="decimal"/>
      <w:lvlText w:val="%1.%2.%3.%4.%5.%6.%7.%8."/>
      <w:lvlJc w:val="left"/>
      <w:pPr>
        <w:tabs>
          <w:tab w:val="num" w:pos="6300"/>
        </w:tabs>
        <w:ind w:left="2844" w:hanging="1224"/>
      </w:pPr>
      <w:rPr>
        <w:rFonts w:hint="default"/>
      </w:rPr>
    </w:lvl>
    <w:lvl w:ilvl="8">
      <w:start w:val="1"/>
      <w:numFmt w:val="decimal"/>
      <w:lvlText w:val="%1.%2.%3.%4.%5.%6.%7.%8.%9."/>
      <w:lvlJc w:val="left"/>
      <w:pPr>
        <w:tabs>
          <w:tab w:val="num" w:pos="7020"/>
        </w:tabs>
        <w:ind w:left="3420" w:hanging="1440"/>
      </w:pPr>
      <w:rPr>
        <w:rFonts w:hint="default"/>
      </w:rPr>
    </w:lvl>
  </w:abstractNum>
  <w:num w:numId="1" w16cid:durableId="750811941">
    <w:abstractNumId w:val="1"/>
  </w:num>
  <w:num w:numId="2" w16cid:durableId="1614943384">
    <w:abstractNumId w:val="9"/>
  </w:num>
  <w:num w:numId="3" w16cid:durableId="2097899909">
    <w:abstractNumId w:val="8"/>
  </w:num>
  <w:num w:numId="4" w16cid:durableId="285342">
    <w:abstractNumId w:val="3"/>
  </w:num>
  <w:num w:numId="5" w16cid:durableId="2010256737">
    <w:abstractNumId w:val="5"/>
  </w:num>
  <w:num w:numId="6" w16cid:durableId="1443063751">
    <w:abstractNumId w:val="0"/>
  </w:num>
  <w:num w:numId="7" w16cid:durableId="1373535981">
    <w:abstractNumId w:val="6"/>
  </w:num>
  <w:num w:numId="8" w16cid:durableId="1642734661">
    <w:abstractNumId w:val="4"/>
  </w:num>
  <w:num w:numId="9" w16cid:durableId="228198441">
    <w:abstractNumId w:val="7"/>
  </w:num>
  <w:num w:numId="10" w16cid:durableId="110395939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B0E"/>
    <w:rsid w:val="00003150"/>
    <w:rsid w:val="000063C8"/>
    <w:rsid w:val="00006E8A"/>
    <w:rsid w:val="0001246C"/>
    <w:rsid w:val="00014160"/>
    <w:rsid w:val="000144FD"/>
    <w:rsid w:val="00016FB7"/>
    <w:rsid w:val="00017A95"/>
    <w:rsid w:val="00021CC0"/>
    <w:rsid w:val="00022BF9"/>
    <w:rsid w:val="0002337F"/>
    <w:rsid w:val="000234BB"/>
    <w:rsid w:val="00026505"/>
    <w:rsid w:val="00027200"/>
    <w:rsid w:val="000312FB"/>
    <w:rsid w:val="000326DA"/>
    <w:rsid w:val="000336D4"/>
    <w:rsid w:val="00034183"/>
    <w:rsid w:val="000359E1"/>
    <w:rsid w:val="00040B96"/>
    <w:rsid w:val="00041571"/>
    <w:rsid w:val="0004220B"/>
    <w:rsid w:val="00042F44"/>
    <w:rsid w:val="00044701"/>
    <w:rsid w:val="0004490D"/>
    <w:rsid w:val="00044B38"/>
    <w:rsid w:val="00046E2C"/>
    <w:rsid w:val="0005354F"/>
    <w:rsid w:val="0005375F"/>
    <w:rsid w:val="000542F8"/>
    <w:rsid w:val="000545C1"/>
    <w:rsid w:val="00055791"/>
    <w:rsid w:val="00056D5C"/>
    <w:rsid w:val="000603F7"/>
    <w:rsid w:val="000606C6"/>
    <w:rsid w:val="00062C95"/>
    <w:rsid w:val="0006606C"/>
    <w:rsid w:val="000666C6"/>
    <w:rsid w:val="00072EFC"/>
    <w:rsid w:val="000736C2"/>
    <w:rsid w:val="00073D04"/>
    <w:rsid w:val="00074676"/>
    <w:rsid w:val="00074A42"/>
    <w:rsid w:val="00074E75"/>
    <w:rsid w:val="00075288"/>
    <w:rsid w:val="00076054"/>
    <w:rsid w:val="00080EDC"/>
    <w:rsid w:val="00081D04"/>
    <w:rsid w:val="00082660"/>
    <w:rsid w:val="00084D66"/>
    <w:rsid w:val="00084FE9"/>
    <w:rsid w:val="000850B0"/>
    <w:rsid w:val="000864FB"/>
    <w:rsid w:val="0008722D"/>
    <w:rsid w:val="00090235"/>
    <w:rsid w:val="0009163D"/>
    <w:rsid w:val="00092540"/>
    <w:rsid w:val="00093A42"/>
    <w:rsid w:val="00094CC0"/>
    <w:rsid w:val="00095CA8"/>
    <w:rsid w:val="0009690C"/>
    <w:rsid w:val="0009767A"/>
    <w:rsid w:val="000A0181"/>
    <w:rsid w:val="000A1008"/>
    <w:rsid w:val="000A14C2"/>
    <w:rsid w:val="000A30A0"/>
    <w:rsid w:val="000B1FC1"/>
    <w:rsid w:val="000B20EB"/>
    <w:rsid w:val="000B242F"/>
    <w:rsid w:val="000B28E9"/>
    <w:rsid w:val="000B5F4A"/>
    <w:rsid w:val="000C488B"/>
    <w:rsid w:val="000D0ED8"/>
    <w:rsid w:val="000D222C"/>
    <w:rsid w:val="000D364E"/>
    <w:rsid w:val="000D50AC"/>
    <w:rsid w:val="000D639D"/>
    <w:rsid w:val="000D6E39"/>
    <w:rsid w:val="000D79EE"/>
    <w:rsid w:val="000D7C8D"/>
    <w:rsid w:val="000E10C8"/>
    <w:rsid w:val="000E1594"/>
    <w:rsid w:val="000E398E"/>
    <w:rsid w:val="000E3F1D"/>
    <w:rsid w:val="000E53A0"/>
    <w:rsid w:val="000E6529"/>
    <w:rsid w:val="000E6EA7"/>
    <w:rsid w:val="000E7CA2"/>
    <w:rsid w:val="000E7EA4"/>
    <w:rsid w:val="000F050F"/>
    <w:rsid w:val="000F3501"/>
    <w:rsid w:val="000F54E8"/>
    <w:rsid w:val="000F59B8"/>
    <w:rsid w:val="00101AFC"/>
    <w:rsid w:val="00101FCF"/>
    <w:rsid w:val="0010376F"/>
    <w:rsid w:val="0010380E"/>
    <w:rsid w:val="00105691"/>
    <w:rsid w:val="00105A40"/>
    <w:rsid w:val="0011132C"/>
    <w:rsid w:val="00115480"/>
    <w:rsid w:val="00117F9D"/>
    <w:rsid w:val="00121AC7"/>
    <w:rsid w:val="0012248F"/>
    <w:rsid w:val="001227BE"/>
    <w:rsid w:val="00122EDC"/>
    <w:rsid w:val="001265AB"/>
    <w:rsid w:val="001270F0"/>
    <w:rsid w:val="00130B97"/>
    <w:rsid w:val="00131880"/>
    <w:rsid w:val="00132A5A"/>
    <w:rsid w:val="001346F5"/>
    <w:rsid w:val="00135818"/>
    <w:rsid w:val="00136125"/>
    <w:rsid w:val="00136A71"/>
    <w:rsid w:val="00144BAE"/>
    <w:rsid w:val="00145F8E"/>
    <w:rsid w:val="00146150"/>
    <w:rsid w:val="001466AB"/>
    <w:rsid w:val="00150D7C"/>
    <w:rsid w:val="00151581"/>
    <w:rsid w:val="0015232F"/>
    <w:rsid w:val="001537DD"/>
    <w:rsid w:val="00153AB4"/>
    <w:rsid w:val="001540C2"/>
    <w:rsid w:val="00154BDA"/>
    <w:rsid w:val="0015506C"/>
    <w:rsid w:val="00155202"/>
    <w:rsid w:val="00160E54"/>
    <w:rsid w:val="00162456"/>
    <w:rsid w:val="00164302"/>
    <w:rsid w:val="0016442A"/>
    <w:rsid w:val="001649D3"/>
    <w:rsid w:val="00164A93"/>
    <w:rsid w:val="00164B28"/>
    <w:rsid w:val="00172CAE"/>
    <w:rsid w:val="0017360A"/>
    <w:rsid w:val="00173937"/>
    <w:rsid w:val="00174065"/>
    <w:rsid w:val="00175AD1"/>
    <w:rsid w:val="00177C7D"/>
    <w:rsid w:val="00180EC1"/>
    <w:rsid w:val="00184D4A"/>
    <w:rsid w:val="00186BE2"/>
    <w:rsid w:val="00190876"/>
    <w:rsid w:val="00191F8A"/>
    <w:rsid w:val="0019205C"/>
    <w:rsid w:val="001926CB"/>
    <w:rsid w:val="00195DF1"/>
    <w:rsid w:val="001961E8"/>
    <w:rsid w:val="001A27F4"/>
    <w:rsid w:val="001A2D57"/>
    <w:rsid w:val="001A4F7F"/>
    <w:rsid w:val="001A5CE4"/>
    <w:rsid w:val="001A6EE2"/>
    <w:rsid w:val="001B04A3"/>
    <w:rsid w:val="001B243F"/>
    <w:rsid w:val="001B382E"/>
    <w:rsid w:val="001B38BF"/>
    <w:rsid w:val="001B4BB1"/>
    <w:rsid w:val="001B578E"/>
    <w:rsid w:val="001B65DB"/>
    <w:rsid w:val="001B6943"/>
    <w:rsid w:val="001B7611"/>
    <w:rsid w:val="001B767B"/>
    <w:rsid w:val="001B7AEC"/>
    <w:rsid w:val="001C0A38"/>
    <w:rsid w:val="001C0EAC"/>
    <w:rsid w:val="001C1AA0"/>
    <w:rsid w:val="001C2A70"/>
    <w:rsid w:val="001C73A8"/>
    <w:rsid w:val="001C7916"/>
    <w:rsid w:val="001D0DDD"/>
    <w:rsid w:val="001D1CE9"/>
    <w:rsid w:val="001D323E"/>
    <w:rsid w:val="001D34CA"/>
    <w:rsid w:val="001D3FB4"/>
    <w:rsid w:val="001D5A4C"/>
    <w:rsid w:val="001D72A3"/>
    <w:rsid w:val="001D7FA0"/>
    <w:rsid w:val="001E092A"/>
    <w:rsid w:val="001E3419"/>
    <w:rsid w:val="001E5843"/>
    <w:rsid w:val="001E5EDB"/>
    <w:rsid w:val="001E7597"/>
    <w:rsid w:val="001F0C86"/>
    <w:rsid w:val="001F11A3"/>
    <w:rsid w:val="001F69C4"/>
    <w:rsid w:val="001F714D"/>
    <w:rsid w:val="00204B5D"/>
    <w:rsid w:val="00204C11"/>
    <w:rsid w:val="00204D7B"/>
    <w:rsid w:val="00207ED5"/>
    <w:rsid w:val="002103EA"/>
    <w:rsid w:val="00214F85"/>
    <w:rsid w:val="002157CB"/>
    <w:rsid w:val="00215E1A"/>
    <w:rsid w:val="0021706C"/>
    <w:rsid w:val="002202E6"/>
    <w:rsid w:val="0022043C"/>
    <w:rsid w:val="00220923"/>
    <w:rsid w:val="00222941"/>
    <w:rsid w:val="00222C0D"/>
    <w:rsid w:val="00223889"/>
    <w:rsid w:val="00224D9B"/>
    <w:rsid w:val="00224F6D"/>
    <w:rsid w:val="00225D6F"/>
    <w:rsid w:val="00225EEC"/>
    <w:rsid w:val="002278A6"/>
    <w:rsid w:val="00230142"/>
    <w:rsid w:val="0023089F"/>
    <w:rsid w:val="00235307"/>
    <w:rsid w:val="00236654"/>
    <w:rsid w:val="00236FDA"/>
    <w:rsid w:val="00240E8C"/>
    <w:rsid w:val="00241C3A"/>
    <w:rsid w:val="0024360D"/>
    <w:rsid w:val="00244ED7"/>
    <w:rsid w:val="002462C1"/>
    <w:rsid w:val="0025119E"/>
    <w:rsid w:val="0025295B"/>
    <w:rsid w:val="00252B1D"/>
    <w:rsid w:val="002538D0"/>
    <w:rsid w:val="00253A6A"/>
    <w:rsid w:val="002540A6"/>
    <w:rsid w:val="00254678"/>
    <w:rsid w:val="00254FFE"/>
    <w:rsid w:val="00260721"/>
    <w:rsid w:val="00260DC1"/>
    <w:rsid w:val="002622CD"/>
    <w:rsid w:val="00262FA7"/>
    <w:rsid w:val="002661BC"/>
    <w:rsid w:val="002663D9"/>
    <w:rsid w:val="002770AA"/>
    <w:rsid w:val="00280AF1"/>
    <w:rsid w:val="00281F46"/>
    <w:rsid w:val="00283BF0"/>
    <w:rsid w:val="00287F7C"/>
    <w:rsid w:val="002903E4"/>
    <w:rsid w:val="002904C6"/>
    <w:rsid w:val="00293F77"/>
    <w:rsid w:val="00295EE3"/>
    <w:rsid w:val="0029646D"/>
    <w:rsid w:val="00296753"/>
    <w:rsid w:val="00296F02"/>
    <w:rsid w:val="00297D32"/>
    <w:rsid w:val="002A0371"/>
    <w:rsid w:val="002A366A"/>
    <w:rsid w:val="002A379D"/>
    <w:rsid w:val="002A49B4"/>
    <w:rsid w:val="002A542C"/>
    <w:rsid w:val="002B2061"/>
    <w:rsid w:val="002B5826"/>
    <w:rsid w:val="002C0D1E"/>
    <w:rsid w:val="002C0F73"/>
    <w:rsid w:val="002C1B09"/>
    <w:rsid w:val="002C1D9B"/>
    <w:rsid w:val="002C562F"/>
    <w:rsid w:val="002C7EF3"/>
    <w:rsid w:val="002D7694"/>
    <w:rsid w:val="002E34B3"/>
    <w:rsid w:val="002E5014"/>
    <w:rsid w:val="002E768B"/>
    <w:rsid w:val="002F0678"/>
    <w:rsid w:val="002F07DA"/>
    <w:rsid w:val="002F0CAC"/>
    <w:rsid w:val="002F0EBE"/>
    <w:rsid w:val="002F20ED"/>
    <w:rsid w:val="002F438C"/>
    <w:rsid w:val="002F535D"/>
    <w:rsid w:val="002F53CA"/>
    <w:rsid w:val="002F543E"/>
    <w:rsid w:val="002F6F96"/>
    <w:rsid w:val="002F777B"/>
    <w:rsid w:val="003004AC"/>
    <w:rsid w:val="003016A3"/>
    <w:rsid w:val="00301744"/>
    <w:rsid w:val="00301B27"/>
    <w:rsid w:val="0030253B"/>
    <w:rsid w:val="00302C96"/>
    <w:rsid w:val="00310258"/>
    <w:rsid w:val="00310C0B"/>
    <w:rsid w:val="00312925"/>
    <w:rsid w:val="00313560"/>
    <w:rsid w:val="00313A77"/>
    <w:rsid w:val="00315382"/>
    <w:rsid w:val="003156F6"/>
    <w:rsid w:val="0031639F"/>
    <w:rsid w:val="003207E0"/>
    <w:rsid w:val="003211BC"/>
    <w:rsid w:val="00321AD3"/>
    <w:rsid w:val="00321E8A"/>
    <w:rsid w:val="00322E4C"/>
    <w:rsid w:val="003247C2"/>
    <w:rsid w:val="00327077"/>
    <w:rsid w:val="00332496"/>
    <w:rsid w:val="00332C99"/>
    <w:rsid w:val="00334803"/>
    <w:rsid w:val="003372EB"/>
    <w:rsid w:val="00337C37"/>
    <w:rsid w:val="0034022D"/>
    <w:rsid w:val="0034273F"/>
    <w:rsid w:val="0034508C"/>
    <w:rsid w:val="00345C0A"/>
    <w:rsid w:val="00346FF7"/>
    <w:rsid w:val="0034723A"/>
    <w:rsid w:val="003501EE"/>
    <w:rsid w:val="0035280A"/>
    <w:rsid w:val="0035399B"/>
    <w:rsid w:val="00354D11"/>
    <w:rsid w:val="00361AFA"/>
    <w:rsid w:val="0036221F"/>
    <w:rsid w:val="00362D2F"/>
    <w:rsid w:val="003632E4"/>
    <w:rsid w:val="00363ED3"/>
    <w:rsid w:val="00366348"/>
    <w:rsid w:val="00370EFB"/>
    <w:rsid w:val="00374CC0"/>
    <w:rsid w:val="0037511D"/>
    <w:rsid w:val="0037769C"/>
    <w:rsid w:val="00380620"/>
    <w:rsid w:val="003819EF"/>
    <w:rsid w:val="0038226E"/>
    <w:rsid w:val="003842CA"/>
    <w:rsid w:val="00384A78"/>
    <w:rsid w:val="003859E1"/>
    <w:rsid w:val="00387A1E"/>
    <w:rsid w:val="00390B77"/>
    <w:rsid w:val="00394D21"/>
    <w:rsid w:val="003960DD"/>
    <w:rsid w:val="00397F85"/>
    <w:rsid w:val="003A03F1"/>
    <w:rsid w:val="003A147A"/>
    <w:rsid w:val="003A3E5D"/>
    <w:rsid w:val="003A438D"/>
    <w:rsid w:val="003B00B5"/>
    <w:rsid w:val="003B2041"/>
    <w:rsid w:val="003B4095"/>
    <w:rsid w:val="003B506A"/>
    <w:rsid w:val="003B618D"/>
    <w:rsid w:val="003B6C46"/>
    <w:rsid w:val="003B78EE"/>
    <w:rsid w:val="003C10EE"/>
    <w:rsid w:val="003C182D"/>
    <w:rsid w:val="003C3789"/>
    <w:rsid w:val="003C5DCF"/>
    <w:rsid w:val="003D156D"/>
    <w:rsid w:val="003D29A7"/>
    <w:rsid w:val="003D3622"/>
    <w:rsid w:val="003D389F"/>
    <w:rsid w:val="003D4D37"/>
    <w:rsid w:val="003D4EFE"/>
    <w:rsid w:val="003E0AE1"/>
    <w:rsid w:val="003E12FD"/>
    <w:rsid w:val="003E134D"/>
    <w:rsid w:val="003E1AB7"/>
    <w:rsid w:val="003E3E1E"/>
    <w:rsid w:val="003E6003"/>
    <w:rsid w:val="003E6D1D"/>
    <w:rsid w:val="003E6DF6"/>
    <w:rsid w:val="003E7CF0"/>
    <w:rsid w:val="003F020F"/>
    <w:rsid w:val="003F0DD3"/>
    <w:rsid w:val="003F0E7C"/>
    <w:rsid w:val="003F1A8D"/>
    <w:rsid w:val="003F1C14"/>
    <w:rsid w:val="003F6343"/>
    <w:rsid w:val="00400036"/>
    <w:rsid w:val="00403002"/>
    <w:rsid w:val="00405A91"/>
    <w:rsid w:val="004068D7"/>
    <w:rsid w:val="00410750"/>
    <w:rsid w:val="004141E7"/>
    <w:rsid w:val="00416F7C"/>
    <w:rsid w:val="00417596"/>
    <w:rsid w:val="00417AB1"/>
    <w:rsid w:val="0042336D"/>
    <w:rsid w:val="004236ED"/>
    <w:rsid w:val="00425B5F"/>
    <w:rsid w:val="004307BB"/>
    <w:rsid w:val="004317E8"/>
    <w:rsid w:val="00432059"/>
    <w:rsid w:val="004320AD"/>
    <w:rsid w:val="00434098"/>
    <w:rsid w:val="004341D2"/>
    <w:rsid w:val="00434F51"/>
    <w:rsid w:val="00435231"/>
    <w:rsid w:val="0043682E"/>
    <w:rsid w:val="0044040A"/>
    <w:rsid w:val="00442C54"/>
    <w:rsid w:val="004436B8"/>
    <w:rsid w:val="004444BE"/>
    <w:rsid w:val="00444EE4"/>
    <w:rsid w:val="00446B63"/>
    <w:rsid w:val="00450964"/>
    <w:rsid w:val="00452DA3"/>
    <w:rsid w:val="00452F9D"/>
    <w:rsid w:val="00453ED1"/>
    <w:rsid w:val="00455384"/>
    <w:rsid w:val="0045619A"/>
    <w:rsid w:val="004562DB"/>
    <w:rsid w:val="00460D0E"/>
    <w:rsid w:val="004615A6"/>
    <w:rsid w:val="00462214"/>
    <w:rsid w:val="004642B5"/>
    <w:rsid w:val="00464F26"/>
    <w:rsid w:val="00465E7B"/>
    <w:rsid w:val="00466C6D"/>
    <w:rsid w:val="00466D05"/>
    <w:rsid w:val="00467865"/>
    <w:rsid w:val="004729BF"/>
    <w:rsid w:val="00474DD8"/>
    <w:rsid w:val="00476A83"/>
    <w:rsid w:val="00480A0F"/>
    <w:rsid w:val="00483501"/>
    <w:rsid w:val="00492A75"/>
    <w:rsid w:val="004932DE"/>
    <w:rsid w:val="00494E1B"/>
    <w:rsid w:val="00495ADD"/>
    <w:rsid w:val="00496816"/>
    <w:rsid w:val="004A20A1"/>
    <w:rsid w:val="004A2D24"/>
    <w:rsid w:val="004A51A7"/>
    <w:rsid w:val="004A567E"/>
    <w:rsid w:val="004A5D5E"/>
    <w:rsid w:val="004A6679"/>
    <w:rsid w:val="004B0A29"/>
    <w:rsid w:val="004B50AD"/>
    <w:rsid w:val="004C2E2A"/>
    <w:rsid w:val="004C3209"/>
    <w:rsid w:val="004C6478"/>
    <w:rsid w:val="004C738B"/>
    <w:rsid w:val="004C7C38"/>
    <w:rsid w:val="004D2E1D"/>
    <w:rsid w:val="004D30C7"/>
    <w:rsid w:val="004D69E1"/>
    <w:rsid w:val="004D7668"/>
    <w:rsid w:val="004D778D"/>
    <w:rsid w:val="004D7917"/>
    <w:rsid w:val="004E16E0"/>
    <w:rsid w:val="004E4495"/>
    <w:rsid w:val="004E5462"/>
    <w:rsid w:val="004E7458"/>
    <w:rsid w:val="004E7FA2"/>
    <w:rsid w:val="004F0118"/>
    <w:rsid w:val="004F4BE4"/>
    <w:rsid w:val="004F56E4"/>
    <w:rsid w:val="005005E7"/>
    <w:rsid w:val="0050439B"/>
    <w:rsid w:val="00504BA9"/>
    <w:rsid w:val="005104B4"/>
    <w:rsid w:val="00510C6E"/>
    <w:rsid w:val="00511E86"/>
    <w:rsid w:val="00512536"/>
    <w:rsid w:val="00512A61"/>
    <w:rsid w:val="00512A73"/>
    <w:rsid w:val="00513210"/>
    <w:rsid w:val="0051332F"/>
    <w:rsid w:val="00515A0B"/>
    <w:rsid w:val="00515D20"/>
    <w:rsid w:val="00520609"/>
    <w:rsid w:val="00523F26"/>
    <w:rsid w:val="0052526F"/>
    <w:rsid w:val="0052663B"/>
    <w:rsid w:val="0053084C"/>
    <w:rsid w:val="00530E66"/>
    <w:rsid w:val="0053372B"/>
    <w:rsid w:val="005344FC"/>
    <w:rsid w:val="00534889"/>
    <w:rsid w:val="00534A82"/>
    <w:rsid w:val="005373A3"/>
    <w:rsid w:val="00537588"/>
    <w:rsid w:val="00537610"/>
    <w:rsid w:val="005419F7"/>
    <w:rsid w:val="00541AEB"/>
    <w:rsid w:val="005423FC"/>
    <w:rsid w:val="005464EF"/>
    <w:rsid w:val="005469D5"/>
    <w:rsid w:val="00552918"/>
    <w:rsid w:val="00553818"/>
    <w:rsid w:val="0056030D"/>
    <w:rsid w:val="00563757"/>
    <w:rsid w:val="005639E2"/>
    <w:rsid w:val="005660F4"/>
    <w:rsid w:val="0056744A"/>
    <w:rsid w:val="00570502"/>
    <w:rsid w:val="00570532"/>
    <w:rsid w:val="005721E3"/>
    <w:rsid w:val="00572E02"/>
    <w:rsid w:val="00574572"/>
    <w:rsid w:val="00574A1C"/>
    <w:rsid w:val="00577067"/>
    <w:rsid w:val="00577D4A"/>
    <w:rsid w:val="00583384"/>
    <w:rsid w:val="00591DC5"/>
    <w:rsid w:val="00593545"/>
    <w:rsid w:val="00593AD7"/>
    <w:rsid w:val="00596AA0"/>
    <w:rsid w:val="00597188"/>
    <w:rsid w:val="00597C24"/>
    <w:rsid w:val="005A23DA"/>
    <w:rsid w:val="005A3BC3"/>
    <w:rsid w:val="005A6A45"/>
    <w:rsid w:val="005A6B82"/>
    <w:rsid w:val="005A77A0"/>
    <w:rsid w:val="005B0492"/>
    <w:rsid w:val="005B430E"/>
    <w:rsid w:val="005B4D2F"/>
    <w:rsid w:val="005B7D53"/>
    <w:rsid w:val="005C1056"/>
    <w:rsid w:val="005C134C"/>
    <w:rsid w:val="005C175C"/>
    <w:rsid w:val="005C4561"/>
    <w:rsid w:val="005C6C34"/>
    <w:rsid w:val="005D08FD"/>
    <w:rsid w:val="005D16D3"/>
    <w:rsid w:val="005D2036"/>
    <w:rsid w:val="005D36F3"/>
    <w:rsid w:val="005D4DB8"/>
    <w:rsid w:val="005D59A5"/>
    <w:rsid w:val="005D6258"/>
    <w:rsid w:val="005D6542"/>
    <w:rsid w:val="005D7E1B"/>
    <w:rsid w:val="005E1F0C"/>
    <w:rsid w:val="005E2A38"/>
    <w:rsid w:val="005E54B7"/>
    <w:rsid w:val="005E5DF5"/>
    <w:rsid w:val="005E775C"/>
    <w:rsid w:val="005F1BA7"/>
    <w:rsid w:val="005F3C9C"/>
    <w:rsid w:val="005F43BB"/>
    <w:rsid w:val="005F448E"/>
    <w:rsid w:val="005F4911"/>
    <w:rsid w:val="005F5168"/>
    <w:rsid w:val="005F6CEF"/>
    <w:rsid w:val="005F6F52"/>
    <w:rsid w:val="00602AD7"/>
    <w:rsid w:val="00603C08"/>
    <w:rsid w:val="0060466F"/>
    <w:rsid w:val="00605651"/>
    <w:rsid w:val="006073CC"/>
    <w:rsid w:val="0061012B"/>
    <w:rsid w:val="0061317C"/>
    <w:rsid w:val="006146B8"/>
    <w:rsid w:val="00614D7B"/>
    <w:rsid w:val="00615E97"/>
    <w:rsid w:val="006168FE"/>
    <w:rsid w:val="0061794C"/>
    <w:rsid w:val="00617CE8"/>
    <w:rsid w:val="00617FDC"/>
    <w:rsid w:val="006203A9"/>
    <w:rsid w:val="00621926"/>
    <w:rsid w:val="006234DA"/>
    <w:rsid w:val="00624B95"/>
    <w:rsid w:val="006261B7"/>
    <w:rsid w:val="006309E2"/>
    <w:rsid w:val="0063281C"/>
    <w:rsid w:val="0063305A"/>
    <w:rsid w:val="00633EA5"/>
    <w:rsid w:val="00637C0E"/>
    <w:rsid w:val="0064005B"/>
    <w:rsid w:val="006400CB"/>
    <w:rsid w:val="006404E5"/>
    <w:rsid w:val="00641721"/>
    <w:rsid w:val="0064294B"/>
    <w:rsid w:val="00643583"/>
    <w:rsid w:val="00646F6C"/>
    <w:rsid w:val="006471A5"/>
    <w:rsid w:val="00652765"/>
    <w:rsid w:val="0065325D"/>
    <w:rsid w:val="0065334F"/>
    <w:rsid w:val="00653371"/>
    <w:rsid w:val="00653E35"/>
    <w:rsid w:val="00654947"/>
    <w:rsid w:val="00654E99"/>
    <w:rsid w:val="006557C3"/>
    <w:rsid w:val="006558AB"/>
    <w:rsid w:val="006605E5"/>
    <w:rsid w:val="0066137F"/>
    <w:rsid w:val="00662042"/>
    <w:rsid w:val="00662AEA"/>
    <w:rsid w:val="00666630"/>
    <w:rsid w:val="00681B05"/>
    <w:rsid w:val="00681F52"/>
    <w:rsid w:val="0068641A"/>
    <w:rsid w:val="00686F8E"/>
    <w:rsid w:val="006911E4"/>
    <w:rsid w:val="0069188F"/>
    <w:rsid w:val="00693184"/>
    <w:rsid w:val="006955D4"/>
    <w:rsid w:val="00696E50"/>
    <w:rsid w:val="00697189"/>
    <w:rsid w:val="006A088A"/>
    <w:rsid w:val="006A29CA"/>
    <w:rsid w:val="006A491C"/>
    <w:rsid w:val="006A5209"/>
    <w:rsid w:val="006A7B46"/>
    <w:rsid w:val="006B183F"/>
    <w:rsid w:val="006B6A41"/>
    <w:rsid w:val="006B711B"/>
    <w:rsid w:val="006C25ED"/>
    <w:rsid w:val="006C2CE9"/>
    <w:rsid w:val="006C331C"/>
    <w:rsid w:val="006C370E"/>
    <w:rsid w:val="006C4AA0"/>
    <w:rsid w:val="006C514E"/>
    <w:rsid w:val="006C5F29"/>
    <w:rsid w:val="006C6115"/>
    <w:rsid w:val="006C651A"/>
    <w:rsid w:val="006D2DCF"/>
    <w:rsid w:val="006D2E20"/>
    <w:rsid w:val="006D3E31"/>
    <w:rsid w:val="006D54BB"/>
    <w:rsid w:val="006D6AD6"/>
    <w:rsid w:val="006D7AC4"/>
    <w:rsid w:val="006E0191"/>
    <w:rsid w:val="006E18D8"/>
    <w:rsid w:val="006E24FA"/>
    <w:rsid w:val="006F38CA"/>
    <w:rsid w:val="006F3D78"/>
    <w:rsid w:val="006F3ED0"/>
    <w:rsid w:val="006F54F1"/>
    <w:rsid w:val="006F68C0"/>
    <w:rsid w:val="00700432"/>
    <w:rsid w:val="00701100"/>
    <w:rsid w:val="00702936"/>
    <w:rsid w:val="0070331F"/>
    <w:rsid w:val="00703F9D"/>
    <w:rsid w:val="00710DCD"/>
    <w:rsid w:val="00712660"/>
    <w:rsid w:val="00713C1C"/>
    <w:rsid w:val="00715882"/>
    <w:rsid w:val="00717F31"/>
    <w:rsid w:val="007201A7"/>
    <w:rsid w:val="00722B24"/>
    <w:rsid w:val="00724FB5"/>
    <w:rsid w:val="00726B9C"/>
    <w:rsid w:val="007314FA"/>
    <w:rsid w:val="00731C5C"/>
    <w:rsid w:val="00731CB2"/>
    <w:rsid w:val="007324DA"/>
    <w:rsid w:val="00732EDF"/>
    <w:rsid w:val="00733022"/>
    <w:rsid w:val="00733DD9"/>
    <w:rsid w:val="00734912"/>
    <w:rsid w:val="00734B56"/>
    <w:rsid w:val="00735597"/>
    <w:rsid w:val="007379B6"/>
    <w:rsid w:val="00740089"/>
    <w:rsid w:val="00740223"/>
    <w:rsid w:val="00740915"/>
    <w:rsid w:val="007417E9"/>
    <w:rsid w:val="00743AA4"/>
    <w:rsid w:val="00743CC3"/>
    <w:rsid w:val="00745893"/>
    <w:rsid w:val="00745F9C"/>
    <w:rsid w:val="00746D09"/>
    <w:rsid w:val="00750300"/>
    <w:rsid w:val="0075061E"/>
    <w:rsid w:val="00752392"/>
    <w:rsid w:val="00755249"/>
    <w:rsid w:val="00756556"/>
    <w:rsid w:val="0075727C"/>
    <w:rsid w:val="00757A7F"/>
    <w:rsid w:val="007633FE"/>
    <w:rsid w:val="00763DC5"/>
    <w:rsid w:val="0076547C"/>
    <w:rsid w:val="00772EDB"/>
    <w:rsid w:val="0077697F"/>
    <w:rsid w:val="00777997"/>
    <w:rsid w:val="00777C80"/>
    <w:rsid w:val="00780D68"/>
    <w:rsid w:val="00785DF2"/>
    <w:rsid w:val="007873B2"/>
    <w:rsid w:val="00791E98"/>
    <w:rsid w:val="00793D27"/>
    <w:rsid w:val="00794DD7"/>
    <w:rsid w:val="007963F4"/>
    <w:rsid w:val="007A16F9"/>
    <w:rsid w:val="007A1A8D"/>
    <w:rsid w:val="007A240F"/>
    <w:rsid w:val="007A478B"/>
    <w:rsid w:val="007A6AE6"/>
    <w:rsid w:val="007B3933"/>
    <w:rsid w:val="007B55E9"/>
    <w:rsid w:val="007C29E2"/>
    <w:rsid w:val="007C2A8D"/>
    <w:rsid w:val="007C3EBC"/>
    <w:rsid w:val="007C4823"/>
    <w:rsid w:val="007C6070"/>
    <w:rsid w:val="007C71FD"/>
    <w:rsid w:val="007D1045"/>
    <w:rsid w:val="007D1D8F"/>
    <w:rsid w:val="007D23C8"/>
    <w:rsid w:val="007D3840"/>
    <w:rsid w:val="007D3FBE"/>
    <w:rsid w:val="007E39E6"/>
    <w:rsid w:val="007E3EC3"/>
    <w:rsid w:val="007E463C"/>
    <w:rsid w:val="007E52C1"/>
    <w:rsid w:val="007E5FBC"/>
    <w:rsid w:val="007F4854"/>
    <w:rsid w:val="007F7D90"/>
    <w:rsid w:val="008005E9"/>
    <w:rsid w:val="0080064A"/>
    <w:rsid w:val="00802228"/>
    <w:rsid w:val="008040BB"/>
    <w:rsid w:val="0080528C"/>
    <w:rsid w:val="00805949"/>
    <w:rsid w:val="00806220"/>
    <w:rsid w:val="008071BA"/>
    <w:rsid w:val="00807B0E"/>
    <w:rsid w:val="00811E73"/>
    <w:rsid w:val="008129C3"/>
    <w:rsid w:val="00815A1E"/>
    <w:rsid w:val="008163AC"/>
    <w:rsid w:val="008206DC"/>
    <w:rsid w:val="008218B4"/>
    <w:rsid w:val="0082350E"/>
    <w:rsid w:val="008252AE"/>
    <w:rsid w:val="008261E4"/>
    <w:rsid w:val="008275F6"/>
    <w:rsid w:val="008303C1"/>
    <w:rsid w:val="00830BAC"/>
    <w:rsid w:val="0083372A"/>
    <w:rsid w:val="00833F38"/>
    <w:rsid w:val="008346BB"/>
    <w:rsid w:val="00835DD1"/>
    <w:rsid w:val="00836F43"/>
    <w:rsid w:val="008375ED"/>
    <w:rsid w:val="00845714"/>
    <w:rsid w:val="00847C3C"/>
    <w:rsid w:val="00851880"/>
    <w:rsid w:val="00851ED3"/>
    <w:rsid w:val="008538AF"/>
    <w:rsid w:val="008570DE"/>
    <w:rsid w:val="008579AF"/>
    <w:rsid w:val="008614F1"/>
    <w:rsid w:val="0086177D"/>
    <w:rsid w:val="00863F88"/>
    <w:rsid w:val="00864764"/>
    <w:rsid w:val="008649BB"/>
    <w:rsid w:val="00865C6C"/>
    <w:rsid w:val="00866537"/>
    <w:rsid w:val="00866C30"/>
    <w:rsid w:val="0086753A"/>
    <w:rsid w:val="00867C71"/>
    <w:rsid w:val="00870887"/>
    <w:rsid w:val="008726F0"/>
    <w:rsid w:val="00873B11"/>
    <w:rsid w:val="00873F20"/>
    <w:rsid w:val="008767EE"/>
    <w:rsid w:val="00877958"/>
    <w:rsid w:val="0088034C"/>
    <w:rsid w:val="00880AD7"/>
    <w:rsid w:val="00880FB6"/>
    <w:rsid w:val="00881E70"/>
    <w:rsid w:val="008823C3"/>
    <w:rsid w:val="0088558D"/>
    <w:rsid w:val="00886645"/>
    <w:rsid w:val="008943B5"/>
    <w:rsid w:val="008955DF"/>
    <w:rsid w:val="008A0C92"/>
    <w:rsid w:val="008A10DF"/>
    <w:rsid w:val="008A1DF5"/>
    <w:rsid w:val="008A40D4"/>
    <w:rsid w:val="008B08BA"/>
    <w:rsid w:val="008B0F36"/>
    <w:rsid w:val="008B1309"/>
    <w:rsid w:val="008B5799"/>
    <w:rsid w:val="008C079A"/>
    <w:rsid w:val="008C1061"/>
    <w:rsid w:val="008C2122"/>
    <w:rsid w:val="008C255E"/>
    <w:rsid w:val="008C49FD"/>
    <w:rsid w:val="008C4C0B"/>
    <w:rsid w:val="008C641F"/>
    <w:rsid w:val="008D010F"/>
    <w:rsid w:val="008D2DD8"/>
    <w:rsid w:val="008D47A1"/>
    <w:rsid w:val="008D4AD3"/>
    <w:rsid w:val="008D78F0"/>
    <w:rsid w:val="008E5FF0"/>
    <w:rsid w:val="008E7BA6"/>
    <w:rsid w:val="008E7C65"/>
    <w:rsid w:val="008E7FA8"/>
    <w:rsid w:val="008F0566"/>
    <w:rsid w:val="008F133D"/>
    <w:rsid w:val="008F1F64"/>
    <w:rsid w:val="008F24C9"/>
    <w:rsid w:val="008F2D19"/>
    <w:rsid w:val="00900FB2"/>
    <w:rsid w:val="00901B43"/>
    <w:rsid w:val="00904ECD"/>
    <w:rsid w:val="00910774"/>
    <w:rsid w:val="00911271"/>
    <w:rsid w:val="00911A2A"/>
    <w:rsid w:val="009125BE"/>
    <w:rsid w:val="00912FF7"/>
    <w:rsid w:val="009151A4"/>
    <w:rsid w:val="00916640"/>
    <w:rsid w:val="009166CD"/>
    <w:rsid w:val="00916F17"/>
    <w:rsid w:val="00917477"/>
    <w:rsid w:val="0092498D"/>
    <w:rsid w:val="0092541D"/>
    <w:rsid w:val="00926640"/>
    <w:rsid w:val="00932321"/>
    <w:rsid w:val="0093268C"/>
    <w:rsid w:val="009346E0"/>
    <w:rsid w:val="00935897"/>
    <w:rsid w:val="009363F4"/>
    <w:rsid w:val="009404D4"/>
    <w:rsid w:val="009434D6"/>
    <w:rsid w:val="00945452"/>
    <w:rsid w:val="00947018"/>
    <w:rsid w:val="00950CD1"/>
    <w:rsid w:val="00951BAF"/>
    <w:rsid w:val="00951FB8"/>
    <w:rsid w:val="009561B7"/>
    <w:rsid w:val="009568D8"/>
    <w:rsid w:val="00956ED1"/>
    <w:rsid w:val="009572E4"/>
    <w:rsid w:val="00957649"/>
    <w:rsid w:val="00957EC6"/>
    <w:rsid w:val="0096286B"/>
    <w:rsid w:val="009628A7"/>
    <w:rsid w:val="00963199"/>
    <w:rsid w:val="009716E6"/>
    <w:rsid w:val="009734BD"/>
    <w:rsid w:val="00976E9F"/>
    <w:rsid w:val="009770A7"/>
    <w:rsid w:val="00977E46"/>
    <w:rsid w:val="00980214"/>
    <w:rsid w:val="0098176A"/>
    <w:rsid w:val="00981C8F"/>
    <w:rsid w:val="009840B6"/>
    <w:rsid w:val="0098654D"/>
    <w:rsid w:val="009869DE"/>
    <w:rsid w:val="00986BBE"/>
    <w:rsid w:val="00990E5E"/>
    <w:rsid w:val="009918DF"/>
    <w:rsid w:val="00992D4F"/>
    <w:rsid w:val="00995A48"/>
    <w:rsid w:val="009967D6"/>
    <w:rsid w:val="00996993"/>
    <w:rsid w:val="009A04A4"/>
    <w:rsid w:val="009A094B"/>
    <w:rsid w:val="009A12FB"/>
    <w:rsid w:val="009A2765"/>
    <w:rsid w:val="009A6532"/>
    <w:rsid w:val="009A6B80"/>
    <w:rsid w:val="009A6DB5"/>
    <w:rsid w:val="009B176F"/>
    <w:rsid w:val="009B1B5D"/>
    <w:rsid w:val="009B3121"/>
    <w:rsid w:val="009B3E91"/>
    <w:rsid w:val="009B52D3"/>
    <w:rsid w:val="009B628B"/>
    <w:rsid w:val="009B65EA"/>
    <w:rsid w:val="009B7F66"/>
    <w:rsid w:val="009C01FD"/>
    <w:rsid w:val="009C3D34"/>
    <w:rsid w:val="009C4307"/>
    <w:rsid w:val="009C472B"/>
    <w:rsid w:val="009C69A5"/>
    <w:rsid w:val="009C70D2"/>
    <w:rsid w:val="009D0328"/>
    <w:rsid w:val="009D0CA2"/>
    <w:rsid w:val="009D0E59"/>
    <w:rsid w:val="009D7503"/>
    <w:rsid w:val="009E027A"/>
    <w:rsid w:val="009E358B"/>
    <w:rsid w:val="009E370B"/>
    <w:rsid w:val="009F0A54"/>
    <w:rsid w:val="009F0D9E"/>
    <w:rsid w:val="009F22F9"/>
    <w:rsid w:val="009F26EA"/>
    <w:rsid w:val="009F32EF"/>
    <w:rsid w:val="009F3452"/>
    <w:rsid w:val="009F57F2"/>
    <w:rsid w:val="009F6356"/>
    <w:rsid w:val="009F745E"/>
    <w:rsid w:val="00A000B0"/>
    <w:rsid w:val="00A044B0"/>
    <w:rsid w:val="00A04D70"/>
    <w:rsid w:val="00A06063"/>
    <w:rsid w:val="00A0678A"/>
    <w:rsid w:val="00A10705"/>
    <w:rsid w:val="00A14A81"/>
    <w:rsid w:val="00A15B5F"/>
    <w:rsid w:val="00A1754B"/>
    <w:rsid w:val="00A21892"/>
    <w:rsid w:val="00A22178"/>
    <w:rsid w:val="00A2786E"/>
    <w:rsid w:val="00A27945"/>
    <w:rsid w:val="00A322A4"/>
    <w:rsid w:val="00A34F06"/>
    <w:rsid w:val="00A34FA0"/>
    <w:rsid w:val="00A35AFE"/>
    <w:rsid w:val="00A36638"/>
    <w:rsid w:val="00A37CDD"/>
    <w:rsid w:val="00A402AA"/>
    <w:rsid w:val="00A402BD"/>
    <w:rsid w:val="00A4099C"/>
    <w:rsid w:val="00A4257C"/>
    <w:rsid w:val="00A42804"/>
    <w:rsid w:val="00A43ABA"/>
    <w:rsid w:val="00A4530D"/>
    <w:rsid w:val="00A4620A"/>
    <w:rsid w:val="00A47254"/>
    <w:rsid w:val="00A53CDC"/>
    <w:rsid w:val="00A54357"/>
    <w:rsid w:val="00A566B3"/>
    <w:rsid w:val="00A5758B"/>
    <w:rsid w:val="00A606CC"/>
    <w:rsid w:val="00A61D33"/>
    <w:rsid w:val="00A62681"/>
    <w:rsid w:val="00A67454"/>
    <w:rsid w:val="00A7061E"/>
    <w:rsid w:val="00A7089E"/>
    <w:rsid w:val="00A7125C"/>
    <w:rsid w:val="00A72935"/>
    <w:rsid w:val="00A75B82"/>
    <w:rsid w:val="00A77A79"/>
    <w:rsid w:val="00A81CD0"/>
    <w:rsid w:val="00A82441"/>
    <w:rsid w:val="00A82FC4"/>
    <w:rsid w:val="00A8702A"/>
    <w:rsid w:val="00A877A4"/>
    <w:rsid w:val="00A90E76"/>
    <w:rsid w:val="00A9289A"/>
    <w:rsid w:val="00A96C3D"/>
    <w:rsid w:val="00AA17AF"/>
    <w:rsid w:val="00AA2E58"/>
    <w:rsid w:val="00AB1022"/>
    <w:rsid w:val="00AB3F5D"/>
    <w:rsid w:val="00AB47D1"/>
    <w:rsid w:val="00AB50BA"/>
    <w:rsid w:val="00AB5A13"/>
    <w:rsid w:val="00AB5FB6"/>
    <w:rsid w:val="00AB7023"/>
    <w:rsid w:val="00AC0015"/>
    <w:rsid w:val="00AC278B"/>
    <w:rsid w:val="00AC6A2C"/>
    <w:rsid w:val="00AC6ED3"/>
    <w:rsid w:val="00AD27B3"/>
    <w:rsid w:val="00AD637B"/>
    <w:rsid w:val="00AE0675"/>
    <w:rsid w:val="00AE38A1"/>
    <w:rsid w:val="00AE598D"/>
    <w:rsid w:val="00AE5DC8"/>
    <w:rsid w:val="00AE7790"/>
    <w:rsid w:val="00AF05FC"/>
    <w:rsid w:val="00AF170F"/>
    <w:rsid w:val="00AF2203"/>
    <w:rsid w:val="00AF49D0"/>
    <w:rsid w:val="00AF4A4A"/>
    <w:rsid w:val="00AF63DD"/>
    <w:rsid w:val="00AF6458"/>
    <w:rsid w:val="00B04496"/>
    <w:rsid w:val="00B06ED5"/>
    <w:rsid w:val="00B06EDF"/>
    <w:rsid w:val="00B13347"/>
    <w:rsid w:val="00B14B9C"/>
    <w:rsid w:val="00B14D3D"/>
    <w:rsid w:val="00B14F4B"/>
    <w:rsid w:val="00B15DD4"/>
    <w:rsid w:val="00B17920"/>
    <w:rsid w:val="00B20956"/>
    <w:rsid w:val="00B2348F"/>
    <w:rsid w:val="00B237B7"/>
    <w:rsid w:val="00B2561A"/>
    <w:rsid w:val="00B25DC1"/>
    <w:rsid w:val="00B317BD"/>
    <w:rsid w:val="00B32327"/>
    <w:rsid w:val="00B3348C"/>
    <w:rsid w:val="00B3378C"/>
    <w:rsid w:val="00B33D29"/>
    <w:rsid w:val="00B33FEC"/>
    <w:rsid w:val="00B348AA"/>
    <w:rsid w:val="00B35486"/>
    <w:rsid w:val="00B359DB"/>
    <w:rsid w:val="00B369A5"/>
    <w:rsid w:val="00B37BC5"/>
    <w:rsid w:val="00B46AD8"/>
    <w:rsid w:val="00B47A11"/>
    <w:rsid w:val="00B54F55"/>
    <w:rsid w:val="00B553FE"/>
    <w:rsid w:val="00B55CC3"/>
    <w:rsid w:val="00B55E34"/>
    <w:rsid w:val="00B576E0"/>
    <w:rsid w:val="00B60A61"/>
    <w:rsid w:val="00B60E4A"/>
    <w:rsid w:val="00B61F39"/>
    <w:rsid w:val="00B62649"/>
    <w:rsid w:val="00B62B40"/>
    <w:rsid w:val="00B665C3"/>
    <w:rsid w:val="00B667BC"/>
    <w:rsid w:val="00B67414"/>
    <w:rsid w:val="00B67D6A"/>
    <w:rsid w:val="00B70AF3"/>
    <w:rsid w:val="00B71C51"/>
    <w:rsid w:val="00B72E10"/>
    <w:rsid w:val="00B75321"/>
    <w:rsid w:val="00B75450"/>
    <w:rsid w:val="00B75CC3"/>
    <w:rsid w:val="00B76CC2"/>
    <w:rsid w:val="00B7794C"/>
    <w:rsid w:val="00B80424"/>
    <w:rsid w:val="00B8125B"/>
    <w:rsid w:val="00B82BBB"/>
    <w:rsid w:val="00B91282"/>
    <w:rsid w:val="00B94000"/>
    <w:rsid w:val="00B95E43"/>
    <w:rsid w:val="00BA553E"/>
    <w:rsid w:val="00BA778A"/>
    <w:rsid w:val="00BA7C4F"/>
    <w:rsid w:val="00BB3E00"/>
    <w:rsid w:val="00BB3EA0"/>
    <w:rsid w:val="00BB6012"/>
    <w:rsid w:val="00BB76DF"/>
    <w:rsid w:val="00BB7A60"/>
    <w:rsid w:val="00BC16E2"/>
    <w:rsid w:val="00BC3BA7"/>
    <w:rsid w:val="00BC48A9"/>
    <w:rsid w:val="00BC4C93"/>
    <w:rsid w:val="00BC7E50"/>
    <w:rsid w:val="00BD1702"/>
    <w:rsid w:val="00BD31DD"/>
    <w:rsid w:val="00BD6BFA"/>
    <w:rsid w:val="00BD7E2B"/>
    <w:rsid w:val="00BE21BD"/>
    <w:rsid w:val="00BE7513"/>
    <w:rsid w:val="00BE77CE"/>
    <w:rsid w:val="00BF071F"/>
    <w:rsid w:val="00BF2278"/>
    <w:rsid w:val="00BF2E63"/>
    <w:rsid w:val="00BF43CD"/>
    <w:rsid w:val="00BF4899"/>
    <w:rsid w:val="00BF4BFE"/>
    <w:rsid w:val="00BF5013"/>
    <w:rsid w:val="00C00C78"/>
    <w:rsid w:val="00C01AFA"/>
    <w:rsid w:val="00C021A8"/>
    <w:rsid w:val="00C04D04"/>
    <w:rsid w:val="00C0750E"/>
    <w:rsid w:val="00C10A56"/>
    <w:rsid w:val="00C10DEB"/>
    <w:rsid w:val="00C12D9E"/>
    <w:rsid w:val="00C13F48"/>
    <w:rsid w:val="00C14149"/>
    <w:rsid w:val="00C16BAB"/>
    <w:rsid w:val="00C20038"/>
    <w:rsid w:val="00C206E7"/>
    <w:rsid w:val="00C220BF"/>
    <w:rsid w:val="00C22122"/>
    <w:rsid w:val="00C24118"/>
    <w:rsid w:val="00C24EB5"/>
    <w:rsid w:val="00C31296"/>
    <w:rsid w:val="00C3230A"/>
    <w:rsid w:val="00C40018"/>
    <w:rsid w:val="00C413BD"/>
    <w:rsid w:val="00C414C4"/>
    <w:rsid w:val="00C4293B"/>
    <w:rsid w:val="00C43536"/>
    <w:rsid w:val="00C44ED1"/>
    <w:rsid w:val="00C454E1"/>
    <w:rsid w:val="00C469D3"/>
    <w:rsid w:val="00C46BC6"/>
    <w:rsid w:val="00C50159"/>
    <w:rsid w:val="00C50186"/>
    <w:rsid w:val="00C50909"/>
    <w:rsid w:val="00C539A6"/>
    <w:rsid w:val="00C53B34"/>
    <w:rsid w:val="00C56CD4"/>
    <w:rsid w:val="00C56E15"/>
    <w:rsid w:val="00C5707E"/>
    <w:rsid w:val="00C60060"/>
    <w:rsid w:val="00C61452"/>
    <w:rsid w:val="00C6383D"/>
    <w:rsid w:val="00C6575B"/>
    <w:rsid w:val="00C66B10"/>
    <w:rsid w:val="00C7001B"/>
    <w:rsid w:val="00C7040B"/>
    <w:rsid w:val="00C712F2"/>
    <w:rsid w:val="00C733B5"/>
    <w:rsid w:val="00C73723"/>
    <w:rsid w:val="00C740B7"/>
    <w:rsid w:val="00C7463A"/>
    <w:rsid w:val="00C80517"/>
    <w:rsid w:val="00C8154C"/>
    <w:rsid w:val="00C81AA2"/>
    <w:rsid w:val="00C82907"/>
    <w:rsid w:val="00C83FE2"/>
    <w:rsid w:val="00C878E4"/>
    <w:rsid w:val="00C91393"/>
    <w:rsid w:val="00C92DAE"/>
    <w:rsid w:val="00C93341"/>
    <w:rsid w:val="00C94E19"/>
    <w:rsid w:val="00CA075C"/>
    <w:rsid w:val="00CA3E77"/>
    <w:rsid w:val="00CA4CCE"/>
    <w:rsid w:val="00CA7395"/>
    <w:rsid w:val="00CB06E3"/>
    <w:rsid w:val="00CB0BC2"/>
    <w:rsid w:val="00CB36DC"/>
    <w:rsid w:val="00CB6FD4"/>
    <w:rsid w:val="00CC1ACD"/>
    <w:rsid w:val="00CC1CC7"/>
    <w:rsid w:val="00CC2BE0"/>
    <w:rsid w:val="00CC2DF9"/>
    <w:rsid w:val="00CC7A9B"/>
    <w:rsid w:val="00CD01B3"/>
    <w:rsid w:val="00CD36E6"/>
    <w:rsid w:val="00CD6315"/>
    <w:rsid w:val="00CD6A83"/>
    <w:rsid w:val="00CE4C85"/>
    <w:rsid w:val="00CE59C8"/>
    <w:rsid w:val="00CF00DD"/>
    <w:rsid w:val="00CF2C99"/>
    <w:rsid w:val="00CF3733"/>
    <w:rsid w:val="00CF6B89"/>
    <w:rsid w:val="00CF7332"/>
    <w:rsid w:val="00CF739F"/>
    <w:rsid w:val="00CF7C56"/>
    <w:rsid w:val="00D0082C"/>
    <w:rsid w:val="00D00E4B"/>
    <w:rsid w:val="00D01494"/>
    <w:rsid w:val="00D04120"/>
    <w:rsid w:val="00D048D2"/>
    <w:rsid w:val="00D06DF3"/>
    <w:rsid w:val="00D07E35"/>
    <w:rsid w:val="00D1304F"/>
    <w:rsid w:val="00D1384E"/>
    <w:rsid w:val="00D1429A"/>
    <w:rsid w:val="00D15028"/>
    <w:rsid w:val="00D1562C"/>
    <w:rsid w:val="00D1725C"/>
    <w:rsid w:val="00D17E13"/>
    <w:rsid w:val="00D20E58"/>
    <w:rsid w:val="00D25E24"/>
    <w:rsid w:val="00D25E5A"/>
    <w:rsid w:val="00D26C2C"/>
    <w:rsid w:val="00D279B0"/>
    <w:rsid w:val="00D30908"/>
    <w:rsid w:val="00D31DDC"/>
    <w:rsid w:val="00D31E46"/>
    <w:rsid w:val="00D3365D"/>
    <w:rsid w:val="00D352F9"/>
    <w:rsid w:val="00D35749"/>
    <w:rsid w:val="00D363F8"/>
    <w:rsid w:val="00D37465"/>
    <w:rsid w:val="00D37513"/>
    <w:rsid w:val="00D40F45"/>
    <w:rsid w:val="00D4160F"/>
    <w:rsid w:val="00D416A6"/>
    <w:rsid w:val="00D449FF"/>
    <w:rsid w:val="00D4524B"/>
    <w:rsid w:val="00D45957"/>
    <w:rsid w:val="00D46C04"/>
    <w:rsid w:val="00D478E6"/>
    <w:rsid w:val="00D47A74"/>
    <w:rsid w:val="00D47EDA"/>
    <w:rsid w:val="00D47EE0"/>
    <w:rsid w:val="00D52A46"/>
    <w:rsid w:val="00D52C4F"/>
    <w:rsid w:val="00D52D56"/>
    <w:rsid w:val="00D5447A"/>
    <w:rsid w:val="00D57C9A"/>
    <w:rsid w:val="00D6153E"/>
    <w:rsid w:val="00D6158C"/>
    <w:rsid w:val="00D61944"/>
    <w:rsid w:val="00D628B2"/>
    <w:rsid w:val="00D642C4"/>
    <w:rsid w:val="00D64437"/>
    <w:rsid w:val="00D6575A"/>
    <w:rsid w:val="00D706A8"/>
    <w:rsid w:val="00D71D7F"/>
    <w:rsid w:val="00D72776"/>
    <w:rsid w:val="00D730B2"/>
    <w:rsid w:val="00D7509B"/>
    <w:rsid w:val="00D76047"/>
    <w:rsid w:val="00D76608"/>
    <w:rsid w:val="00D76813"/>
    <w:rsid w:val="00D7772A"/>
    <w:rsid w:val="00D77882"/>
    <w:rsid w:val="00D77CED"/>
    <w:rsid w:val="00D77E75"/>
    <w:rsid w:val="00D82218"/>
    <w:rsid w:val="00D84488"/>
    <w:rsid w:val="00D84E43"/>
    <w:rsid w:val="00D85B2C"/>
    <w:rsid w:val="00D85CAF"/>
    <w:rsid w:val="00D871DE"/>
    <w:rsid w:val="00D8775F"/>
    <w:rsid w:val="00D91103"/>
    <w:rsid w:val="00D926DE"/>
    <w:rsid w:val="00DA0544"/>
    <w:rsid w:val="00DA0EC7"/>
    <w:rsid w:val="00DA120F"/>
    <w:rsid w:val="00DA2670"/>
    <w:rsid w:val="00DA3603"/>
    <w:rsid w:val="00DA4744"/>
    <w:rsid w:val="00DA4C02"/>
    <w:rsid w:val="00DA54E5"/>
    <w:rsid w:val="00DA7A4C"/>
    <w:rsid w:val="00DB2BEF"/>
    <w:rsid w:val="00DB61FF"/>
    <w:rsid w:val="00DB73CF"/>
    <w:rsid w:val="00DB741F"/>
    <w:rsid w:val="00DC0A18"/>
    <w:rsid w:val="00DC0F16"/>
    <w:rsid w:val="00DC1D29"/>
    <w:rsid w:val="00DC305F"/>
    <w:rsid w:val="00DC74C2"/>
    <w:rsid w:val="00DC757C"/>
    <w:rsid w:val="00DD2EBF"/>
    <w:rsid w:val="00DD69A5"/>
    <w:rsid w:val="00DE0D13"/>
    <w:rsid w:val="00DE3BB5"/>
    <w:rsid w:val="00DE7C9A"/>
    <w:rsid w:val="00DE7CAF"/>
    <w:rsid w:val="00DF0DFE"/>
    <w:rsid w:val="00DF37E6"/>
    <w:rsid w:val="00DF513D"/>
    <w:rsid w:val="00E03253"/>
    <w:rsid w:val="00E04E6A"/>
    <w:rsid w:val="00E05A51"/>
    <w:rsid w:val="00E15EA0"/>
    <w:rsid w:val="00E1789D"/>
    <w:rsid w:val="00E2016E"/>
    <w:rsid w:val="00E20A2C"/>
    <w:rsid w:val="00E2406B"/>
    <w:rsid w:val="00E2423B"/>
    <w:rsid w:val="00E24391"/>
    <w:rsid w:val="00E32429"/>
    <w:rsid w:val="00E33F7D"/>
    <w:rsid w:val="00E355C4"/>
    <w:rsid w:val="00E358EA"/>
    <w:rsid w:val="00E372D3"/>
    <w:rsid w:val="00E4135A"/>
    <w:rsid w:val="00E444AB"/>
    <w:rsid w:val="00E45718"/>
    <w:rsid w:val="00E468FC"/>
    <w:rsid w:val="00E46DB1"/>
    <w:rsid w:val="00E53555"/>
    <w:rsid w:val="00E57069"/>
    <w:rsid w:val="00E57587"/>
    <w:rsid w:val="00E650D2"/>
    <w:rsid w:val="00E652F3"/>
    <w:rsid w:val="00E65F06"/>
    <w:rsid w:val="00E7029B"/>
    <w:rsid w:val="00E70CD8"/>
    <w:rsid w:val="00E72884"/>
    <w:rsid w:val="00E74B86"/>
    <w:rsid w:val="00E768C3"/>
    <w:rsid w:val="00E76AB2"/>
    <w:rsid w:val="00E776E5"/>
    <w:rsid w:val="00E77E77"/>
    <w:rsid w:val="00E80099"/>
    <w:rsid w:val="00E807FD"/>
    <w:rsid w:val="00E818BD"/>
    <w:rsid w:val="00E830CD"/>
    <w:rsid w:val="00E83C47"/>
    <w:rsid w:val="00E85900"/>
    <w:rsid w:val="00E86997"/>
    <w:rsid w:val="00E87EE4"/>
    <w:rsid w:val="00E90E81"/>
    <w:rsid w:val="00E91DF3"/>
    <w:rsid w:val="00E929F8"/>
    <w:rsid w:val="00E92BE7"/>
    <w:rsid w:val="00E946F1"/>
    <w:rsid w:val="00E97FBE"/>
    <w:rsid w:val="00EA0194"/>
    <w:rsid w:val="00EA03BC"/>
    <w:rsid w:val="00EA04D9"/>
    <w:rsid w:val="00EA1A10"/>
    <w:rsid w:val="00EA221B"/>
    <w:rsid w:val="00EA48E7"/>
    <w:rsid w:val="00EB10EC"/>
    <w:rsid w:val="00EB153A"/>
    <w:rsid w:val="00EB44F3"/>
    <w:rsid w:val="00EB4E6E"/>
    <w:rsid w:val="00EB5009"/>
    <w:rsid w:val="00EB62B2"/>
    <w:rsid w:val="00EC117D"/>
    <w:rsid w:val="00EC24F1"/>
    <w:rsid w:val="00EC3FB0"/>
    <w:rsid w:val="00EC74EB"/>
    <w:rsid w:val="00ED02E1"/>
    <w:rsid w:val="00ED1E2F"/>
    <w:rsid w:val="00ED2B25"/>
    <w:rsid w:val="00ED2DFF"/>
    <w:rsid w:val="00ED3FD0"/>
    <w:rsid w:val="00ED7289"/>
    <w:rsid w:val="00EE1DAC"/>
    <w:rsid w:val="00EE4B71"/>
    <w:rsid w:val="00EE5157"/>
    <w:rsid w:val="00EE5658"/>
    <w:rsid w:val="00EE70C6"/>
    <w:rsid w:val="00EE7618"/>
    <w:rsid w:val="00EF0D9F"/>
    <w:rsid w:val="00EF13BC"/>
    <w:rsid w:val="00EF194B"/>
    <w:rsid w:val="00EF2DC7"/>
    <w:rsid w:val="00EF3488"/>
    <w:rsid w:val="00EF52D6"/>
    <w:rsid w:val="00EF7C4E"/>
    <w:rsid w:val="00F0250E"/>
    <w:rsid w:val="00F03EC6"/>
    <w:rsid w:val="00F05E51"/>
    <w:rsid w:val="00F06BB8"/>
    <w:rsid w:val="00F07D41"/>
    <w:rsid w:val="00F10827"/>
    <w:rsid w:val="00F14A61"/>
    <w:rsid w:val="00F15EF7"/>
    <w:rsid w:val="00F16558"/>
    <w:rsid w:val="00F16DF3"/>
    <w:rsid w:val="00F175EE"/>
    <w:rsid w:val="00F2019A"/>
    <w:rsid w:val="00F2312D"/>
    <w:rsid w:val="00F244DB"/>
    <w:rsid w:val="00F257E1"/>
    <w:rsid w:val="00F25BC0"/>
    <w:rsid w:val="00F272E4"/>
    <w:rsid w:val="00F27BBA"/>
    <w:rsid w:val="00F31789"/>
    <w:rsid w:val="00F31877"/>
    <w:rsid w:val="00F33D2B"/>
    <w:rsid w:val="00F349B2"/>
    <w:rsid w:val="00F3691F"/>
    <w:rsid w:val="00F36D2F"/>
    <w:rsid w:val="00F3786F"/>
    <w:rsid w:val="00F4208D"/>
    <w:rsid w:val="00F42AB6"/>
    <w:rsid w:val="00F4330F"/>
    <w:rsid w:val="00F47100"/>
    <w:rsid w:val="00F514B4"/>
    <w:rsid w:val="00F51A7F"/>
    <w:rsid w:val="00F523DE"/>
    <w:rsid w:val="00F5260A"/>
    <w:rsid w:val="00F5372F"/>
    <w:rsid w:val="00F55808"/>
    <w:rsid w:val="00F572CC"/>
    <w:rsid w:val="00F600F0"/>
    <w:rsid w:val="00F63985"/>
    <w:rsid w:val="00F651FA"/>
    <w:rsid w:val="00F65DD3"/>
    <w:rsid w:val="00F65EA6"/>
    <w:rsid w:val="00F66481"/>
    <w:rsid w:val="00F66656"/>
    <w:rsid w:val="00F66732"/>
    <w:rsid w:val="00F7104A"/>
    <w:rsid w:val="00F711BD"/>
    <w:rsid w:val="00F7405E"/>
    <w:rsid w:val="00F7541F"/>
    <w:rsid w:val="00F754BB"/>
    <w:rsid w:val="00F763BA"/>
    <w:rsid w:val="00F77F20"/>
    <w:rsid w:val="00F802C1"/>
    <w:rsid w:val="00F8114F"/>
    <w:rsid w:val="00F8118E"/>
    <w:rsid w:val="00F84713"/>
    <w:rsid w:val="00F848CF"/>
    <w:rsid w:val="00F84DA2"/>
    <w:rsid w:val="00F92914"/>
    <w:rsid w:val="00F931B6"/>
    <w:rsid w:val="00F93E9C"/>
    <w:rsid w:val="00F94744"/>
    <w:rsid w:val="00F96832"/>
    <w:rsid w:val="00FA05AE"/>
    <w:rsid w:val="00FA1DB6"/>
    <w:rsid w:val="00FA444A"/>
    <w:rsid w:val="00FB05CE"/>
    <w:rsid w:val="00FB32F9"/>
    <w:rsid w:val="00FB363C"/>
    <w:rsid w:val="00FB7329"/>
    <w:rsid w:val="00FC0061"/>
    <w:rsid w:val="00FC049E"/>
    <w:rsid w:val="00FC0A33"/>
    <w:rsid w:val="00FC1BFD"/>
    <w:rsid w:val="00FC566F"/>
    <w:rsid w:val="00FC5DB5"/>
    <w:rsid w:val="00FC6918"/>
    <w:rsid w:val="00FD0066"/>
    <w:rsid w:val="00FD16B3"/>
    <w:rsid w:val="00FD2808"/>
    <w:rsid w:val="00FD47A9"/>
    <w:rsid w:val="00FD4FF8"/>
    <w:rsid w:val="00FD664B"/>
    <w:rsid w:val="00FD6AAD"/>
    <w:rsid w:val="00FD6B9E"/>
    <w:rsid w:val="00FD7208"/>
    <w:rsid w:val="00FE3BA1"/>
    <w:rsid w:val="00FE49E1"/>
    <w:rsid w:val="00FF14F6"/>
    <w:rsid w:val="00FF1B6F"/>
    <w:rsid w:val="00FF3EAA"/>
    <w:rsid w:val="00FF4491"/>
    <w:rsid w:val="00FF6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3DEA52"/>
  <w14:defaultImageDpi w14:val="330"/>
  <w15:chartTrackingRefBased/>
  <w15:docId w15:val="{F27F3646-AB0C-444C-9833-034D50E8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7B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07B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7B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7B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7B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7B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7B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7B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7B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B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07B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7B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7B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7B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7B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7B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7B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7B0E"/>
    <w:rPr>
      <w:rFonts w:eastAsiaTheme="majorEastAsia" w:cstheme="majorBidi"/>
      <w:color w:val="272727" w:themeColor="text1" w:themeTint="D8"/>
    </w:rPr>
  </w:style>
  <w:style w:type="paragraph" w:styleId="Title">
    <w:name w:val="Title"/>
    <w:basedOn w:val="Normal"/>
    <w:next w:val="Normal"/>
    <w:link w:val="TitleChar"/>
    <w:uiPriority w:val="10"/>
    <w:qFormat/>
    <w:rsid w:val="00807B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7B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7B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7B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7B0E"/>
    <w:pPr>
      <w:spacing w:before="160"/>
      <w:jc w:val="center"/>
    </w:pPr>
    <w:rPr>
      <w:i/>
      <w:iCs/>
      <w:color w:val="404040" w:themeColor="text1" w:themeTint="BF"/>
    </w:rPr>
  </w:style>
  <w:style w:type="character" w:customStyle="1" w:styleId="QuoteChar">
    <w:name w:val="Quote Char"/>
    <w:basedOn w:val="DefaultParagraphFont"/>
    <w:link w:val="Quote"/>
    <w:uiPriority w:val="29"/>
    <w:rsid w:val="00807B0E"/>
    <w:rPr>
      <w:i/>
      <w:iCs/>
      <w:color w:val="404040" w:themeColor="text1" w:themeTint="BF"/>
    </w:rPr>
  </w:style>
  <w:style w:type="paragraph" w:styleId="ListParagraph">
    <w:name w:val="List Paragraph"/>
    <w:basedOn w:val="Normal"/>
    <w:uiPriority w:val="34"/>
    <w:qFormat/>
    <w:rsid w:val="00807B0E"/>
    <w:pPr>
      <w:ind w:left="720"/>
      <w:contextualSpacing/>
    </w:pPr>
  </w:style>
  <w:style w:type="character" w:styleId="IntenseEmphasis">
    <w:name w:val="Intense Emphasis"/>
    <w:basedOn w:val="DefaultParagraphFont"/>
    <w:uiPriority w:val="21"/>
    <w:qFormat/>
    <w:rsid w:val="00807B0E"/>
    <w:rPr>
      <w:i/>
      <w:iCs/>
      <w:color w:val="0F4761" w:themeColor="accent1" w:themeShade="BF"/>
    </w:rPr>
  </w:style>
  <w:style w:type="paragraph" w:styleId="IntenseQuote">
    <w:name w:val="Intense Quote"/>
    <w:basedOn w:val="Normal"/>
    <w:next w:val="Normal"/>
    <w:link w:val="IntenseQuoteChar"/>
    <w:uiPriority w:val="30"/>
    <w:qFormat/>
    <w:rsid w:val="00807B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7B0E"/>
    <w:rPr>
      <w:i/>
      <w:iCs/>
      <w:color w:val="0F4761" w:themeColor="accent1" w:themeShade="BF"/>
    </w:rPr>
  </w:style>
  <w:style w:type="character" w:styleId="IntenseReference">
    <w:name w:val="Intense Reference"/>
    <w:basedOn w:val="DefaultParagraphFont"/>
    <w:uiPriority w:val="32"/>
    <w:qFormat/>
    <w:rsid w:val="00807B0E"/>
    <w:rPr>
      <w:b/>
      <w:bCs/>
      <w:smallCaps/>
      <w:color w:val="0F4761" w:themeColor="accent1" w:themeShade="BF"/>
      <w:spacing w:val="5"/>
    </w:rPr>
  </w:style>
  <w:style w:type="paragraph" w:styleId="Header">
    <w:name w:val="header"/>
    <w:basedOn w:val="Normal"/>
    <w:link w:val="HeaderChar"/>
    <w:uiPriority w:val="99"/>
    <w:unhideWhenUsed/>
    <w:rsid w:val="008C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41F"/>
  </w:style>
  <w:style w:type="paragraph" w:styleId="Footer">
    <w:name w:val="footer"/>
    <w:basedOn w:val="Normal"/>
    <w:link w:val="FooterChar"/>
    <w:uiPriority w:val="99"/>
    <w:unhideWhenUsed/>
    <w:rsid w:val="008C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41F"/>
  </w:style>
  <w:style w:type="paragraph" w:styleId="Caption">
    <w:name w:val="caption"/>
    <w:basedOn w:val="Normal"/>
    <w:next w:val="Normal"/>
    <w:uiPriority w:val="35"/>
    <w:unhideWhenUsed/>
    <w:qFormat/>
    <w:rsid w:val="008C641F"/>
    <w:pPr>
      <w:spacing w:after="200" w:line="240" w:lineRule="auto"/>
    </w:pPr>
    <w:rPr>
      <w:i/>
      <w:iCs/>
      <w:color w:val="0E2841" w:themeColor="text2"/>
      <w:sz w:val="18"/>
      <w:szCs w:val="18"/>
    </w:rPr>
  </w:style>
  <w:style w:type="character" w:styleId="Hyperlink">
    <w:name w:val="Hyperlink"/>
    <w:basedOn w:val="DefaultParagraphFont"/>
    <w:uiPriority w:val="99"/>
    <w:unhideWhenUsed/>
    <w:rsid w:val="004436B8"/>
    <w:rPr>
      <w:color w:val="467886" w:themeColor="hyperlink"/>
      <w:u w:val="single"/>
    </w:rPr>
  </w:style>
  <w:style w:type="character" w:styleId="UnresolvedMention">
    <w:name w:val="Unresolved Mention"/>
    <w:basedOn w:val="DefaultParagraphFont"/>
    <w:uiPriority w:val="99"/>
    <w:semiHidden/>
    <w:unhideWhenUsed/>
    <w:rsid w:val="004436B8"/>
    <w:rPr>
      <w:color w:val="605E5C"/>
      <w:shd w:val="clear" w:color="auto" w:fill="E1DFDD"/>
    </w:rPr>
  </w:style>
  <w:style w:type="character" w:styleId="FollowedHyperlink">
    <w:name w:val="FollowedHyperlink"/>
    <w:basedOn w:val="DefaultParagraphFont"/>
    <w:uiPriority w:val="99"/>
    <w:semiHidden/>
    <w:unhideWhenUsed/>
    <w:rsid w:val="00254FFE"/>
    <w:rPr>
      <w:color w:val="96607D" w:themeColor="followedHyperlink"/>
      <w:u w:val="single"/>
    </w:rPr>
  </w:style>
  <w:style w:type="paragraph" w:styleId="NormalWeb">
    <w:name w:val="Normal (Web)"/>
    <w:basedOn w:val="Normal"/>
    <w:uiPriority w:val="99"/>
    <w:semiHidden/>
    <w:unhideWhenUsed/>
    <w:rsid w:val="000B5F4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700432"/>
    <w:rPr>
      <w:color w:val="666666"/>
    </w:rPr>
  </w:style>
  <w:style w:type="table" w:styleId="TableGrid">
    <w:name w:val="Table Grid"/>
    <w:basedOn w:val="TableNormal"/>
    <w:uiPriority w:val="39"/>
    <w:rsid w:val="00080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_caption"/>
    <w:basedOn w:val="Normal"/>
    <w:rsid w:val="00E57587"/>
    <w:pPr>
      <w:numPr>
        <w:numId w:val="2"/>
      </w:numPr>
      <w:spacing w:before="240" w:after="240" w:line="240" w:lineRule="auto"/>
      <w:jc w:val="center"/>
    </w:pPr>
    <w:rPr>
      <w:rFonts w:ascii="Times New Roman" w:eastAsia="Times New Roman" w:hAnsi="Times New Roman" w:cs="Times New Roman"/>
      <w:kern w:val="0"/>
      <w:sz w:val="18"/>
      <w14:ligatures w14:val="none"/>
    </w:rPr>
  </w:style>
  <w:style w:type="paragraph" w:customStyle="1" w:styleId="textbody">
    <w:name w:val="text_body"/>
    <w:basedOn w:val="Normal"/>
    <w:rsid w:val="00FD6B9E"/>
    <w:pPr>
      <w:spacing w:after="0" w:line="240" w:lineRule="auto"/>
      <w:ind w:firstLine="284"/>
      <w:jc w:val="both"/>
    </w:pPr>
    <w:rPr>
      <w:rFonts w:ascii="Times New Roman" w:eastAsia="Times New Roman" w:hAnsi="Times New Roman" w:cs="Times New Roman"/>
      <w:kern w:val="0"/>
      <w:sz w:val="20"/>
      <w14:ligatures w14:val="none"/>
    </w:rPr>
  </w:style>
  <w:style w:type="character" w:styleId="CommentReference">
    <w:name w:val="annotation reference"/>
    <w:basedOn w:val="DefaultParagraphFont"/>
    <w:uiPriority w:val="99"/>
    <w:semiHidden/>
    <w:unhideWhenUsed/>
    <w:rsid w:val="000E7CA2"/>
    <w:rPr>
      <w:sz w:val="16"/>
      <w:szCs w:val="16"/>
    </w:rPr>
  </w:style>
  <w:style w:type="paragraph" w:styleId="CommentText">
    <w:name w:val="annotation text"/>
    <w:basedOn w:val="Normal"/>
    <w:link w:val="CommentTextChar"/>
    <w:uiPriority w:val="99"/>
    <w:unhideWhenUsed/>
    <w:rsid w:val="000E7CA2"/>
    <w:pPr>
      <w:spacing w:line="240" w:lineRule="auto"/>
    </w:pPr>
    <w:rPr>
      <w:sz w:val="20"/>
      <w:szCs w:val="20"/>
    </w:rPr>
  </w:style>
  <w:style w:type="character" w:customStyle="1" w:styleId="CommentTextChar">
    <w:name w:val="Comment Text Char"/>
    <w:basedOn w:val="DefaultParagraphFont"/>
    <w:link w:val="CommentText"/>
    <w:uiPriority w:val="99"/>
    <w:rsid w:val="000E7CA2"/>
    <w:rPr>
      <w:sz w:val="20"/>
      <w:szCs w:val="20"/>
    </w:rPr>
  </w:style>
  <w:style w:type="paragraph" w:styleId="CommentSubject">
    <w:name w:val="annotation subject"/>
    <w:basedOn w:val="CommentText"/>
    <w:next w:val="CommentText"/>
    <w:link w:val="CommentSubjectChar"/>
    <w:uiPriority w:val="99"/>
    <w:semiHidden/>
    <w:unhideWhenUsed/>
    <w:rsid w:val="000E7CA2"/>
    <w:rPr>
      <w:b/>
      <w:bCs/>
    </w:rPr>
  </w:style>
  <w:style w:type="character" w:customStyle="1" w:styleId="CommentSubjectChar">
    <w:name w:val="Comment Subject Char"/>
    <w:basedOn w:val="CommentTextChar"/>
    <w:link w:val="CommentSubject"/>
    <w:uiPriority w:val="99"/>
    <w:semiHidden/>
    <w:rsid w:val="000E7C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8111714">
      <w:bodyDiv w:val="1"/>
      <w:marLeft w:val="0"/>
      <w:marRight w:val="0"/>
      <w:marTop w:val="0"/>
      <w:marBottom w:val="0"/>
      <w:divBdr>
        <w:top w:val="none" w:sz="0" w:space="0" w:color="auto"/>
        <w:left w:val="none" w:sz="0" w:space="0" w:color="auto"/>
        <w:bottom w:val="none" w:sz="0" w:space="0" w:color="auto"/>
        <w:right w:val="none" w:sz="0" w:space="0" w:color="auto"/>
      </w:divBdr>
    </w:div>
    <w:div w:id="146277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A1C7F-0932-4410-884A-16051FA09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TotalTime>
  <Pages>12</Pages>
  <Words>3790</Words>
  <Characters>21604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24-hour average load</vt:lpstr>
    </vt:vector>
  </TitlesOfParts>
  <Company/>
  <LinksUpToDate>false</LinksUpToDate>
  <CharactersWithSpaces>25344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24-hour average load</dc:title>
  <dc:subject/>
  <dc:creator>Norbert Doerry</dc:creator>
  <cp:keywords/>
  <dc:description/>
  <cp:lastModifiedBy>Norbert Doerry</cp:lastModifiedBy>
  <cp:revision>36</cp:revision>
  <cp:lastPrinted>2026-06-08T15:58:00Z</cp:lastPrinted>
  <dcterms:created xsi:type="dcterms:W3CDTF">2026-06-08T16:41:00Z</dcterms:created>
  <dcterms:modified xsi:type="dcterms:W3CDTF">2026-06-16T20:19:00Z</dcterms:modified>
</cp:coreProperties>
</file>